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F0" w:rsidRDefault="009F13F0" w:rsidP="009F13F0">
      <w:pPr>
        <w:pStyle w:val="Titre2"/>
        <w:rPr>
          <w:lang w:val="fr-FR"/>
        </w:rPr>
      </w:pPr>
      <w:bookmarkStart w:id="0" w:name="_Ref423697483"/>
      <w:bookmarkStart w:id="1" w:name="_Toc423701298"/>
      <w:r>
        <w:rPr>
          <w:lang w:val="fr-FR"/>
        </w:rPr>
        <w:t>Psychologie fondamentale</w:t>
      </w:r>
      <w:bookmarkEnd w:id="0"/>
      <w:bookmarkEnd w:id="1"/>
    </w:p>
    <w:p w:rsidR="009F13F0" w:rsidRPr="009F13F0" w:rsidRDefault="009F13F0" w:rsidP="009F13F0">
      <w:pPr>
        <w:rPr>
          <w:lang w:val="fr-FR" w:eastAsia="fr-CH"/>
        </w:rPr>
      </w:pPr>
    </w:p>
    <w:p w:rsidR="009F13F0" w:rsidRPr="00932A61" w:rsidRDefault="009F13F0" w:rsidP="009F13F0">
      <w:pPr>
        <w:pStyle w:val="normalcat"/>
      </w:pPr>
    </w:p>
    <w:tbl>
      <w:tblPr>
        <w:tblW w:w="975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656"/>
        <w:gridCol w:w="1102"/>
      </w:tblGrid>
      <w:tr w:rsidR="009F13F0" w:rsidRPr="009F13F0" w:rsidTr="007541DA">
        <w:trPr>
          <w:trHeight w:val="460"/>
        </w:trPr>
        <w:tc>
          <w:tcPr>
            <w:tcW w:w="865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9F13F0" w:rsidRPr="009F13F0" w:rsidRDefault="009F13F0" w:rsidP="007541DA">
            <w:pPr>
              <w:spacing w:before="120"/>
              <w:rPr>
                <w:rFonts w:ascii="TheSans-Plain" w:hAnsi="TheSans-Plain" w:cstheme="minorHAnsi"/>
                <w:b/>
                <w:lang w:val="fr-FR"/>
              </w:rPr>
            </w:pPr>
            <w:r w:rsidRPr="009F13F0">
              <w:rPr>
                <w:rFonts w:ascii="TheSans-Plain" w:hAnsi="TheSans-Plain" w:cstheme="minorHAnsi"/>
                <w:b/>
                <w:lang w:val="fr-FR"/>
              </w:rPr>
              <w:t>PLAN D’ETUDES PSYCHOLOGIE FONDAMENTALE</w:t>
            </w:r>
          </w:p>
        </w:tc>
        <w:tc>
          <w:tcPr>
            <w:tcW w:w="110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9F13F0" w:rsidRPr="009F13F0" w:rsidRDefault="009F13F0" w:rsidP="007541DA">
            <w:pPr>
              <w:spacing w:before="120"/>
              <w:rPr>
                <w:rFonts w:ascii="TheSans-Plain" w:hAnsi="TheSans-Plain" w:cstheme="minorHAnsi"/>
                <w:lang w:val="fr-FR"/>
              </w:rPr>
            </w:pPr>
            <w:r w:rsidRPr="009F13F0">
              <w:rPr>
                <w:rFonts w:ascii="TheSans-Plain" w:hAnsi="TheSans-Plain" w:cstheme="minorHAnsi"/>
                <w:lang w:val="fr-FR"/>
              </w:rPr>
              <w:t>Crédits</w:t>
            </w:r>
          </w:p>
        </w:tc>
      </w:tr>
      <w:tr w:rsidR="009F13F0" w:rsidRPr="009F13F0" w:rsidTr="007541DA">
        <w:trPr>
          <w:trHeight w:val="407"/>
        </w:trPr>
        <w:tc>
          <w:tcPr>
            <w:tcW w:w="86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9F13F0" w:rsidRPr="009F13F0" w:rsidRDefault="009F13F0" w:rsidP="007541DA">
            <w:pPr>
              <w:rPr>
                <w:rFonts w:ascii="TheSans-Plain" w:hAnsi="TheSans-Plain" w:cstheme="minorHAnsi"/>
                <w:lang w:val="fr-FR"/>
              </w:rPr>
            </w:pPr>
            <w:r w:rsidRPr="009F13F0">
              <w:rPr>
                <w:rFonts w:ascii="TheSans-Plain" w:hAnsi="TheSans-Plain" w:cstheme="minorHAnsi"/>
                <w:lang w:val="fr-FR"/>
              </w:rPr>
              <w:t>Programme de la première orientation (affective, cognitive, développementale, ou sociale)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9F13F0" w:rsidRPr="009F13F0" w:rsidRDefault="009F13F0" w:rsidP="007541DA">
            <w:pPr>
              <w:jc w:val="center"/>
              <w:rPr>
                <w:rFonts w:ascii="TheSans-Plain" w:hAnsi="TheSans-Plain" w:cstheme="minorHAnsi"/>
                <w:lang w:val="fr-FR"/>
              </w:rPr>
            </w:pPr>
            <w:r w:rsidRPr="009F13F0">
              <w:rPr>
                <w:rFonts w:ascii="TheSans-Plain" w:hAnsi="TheSans-Plain" w:cstheme="minorHAnsi"/>
                <w:lang w:val="fr-FR"/>
              </w:rPr>
              <w:t>27</w:t>
            </w:r>
          </w:p>
        </w:tc>
      </w:tr>
      <w:tr w:rsidR="009F13F0" w:rsidRPr="009F13F0" w:rsidTr="007541DA">
        <w:trPr>
          <w:trHeight w:val="390"/>
        </w:trPr>
        <w:tc>
          <w:tcPr>
            <w:tcW w:w="86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9F13F0" w:rsidRPr="009F13F0" w:rsidRDefault="009F13F0" w:rsidP="007541DA">
            <w:pPr>
              <w:rPr>
                <w:rFonts w:ascii="TheSans-Plain" w:hAnsi="TheSans-Plain" w:cstheme="minorHAnsi"/>
                <w:lang w:val="fr-FR"/>
              </w:rPr>
            </w:pPr>
            <w:r w:rsidRPr="009F13F0">
              <w:rPr>
                <w:rFonts w:ascii="TheSans-Plain" w:hAnsi="TheSans-Plain" w:cstheme="minorHAnsi"/>
                <w:lang w:val="fr-FR"/>
              </w:rPr>
              <w:t>Programme de la seconde orientation (affective, cognitive, développementale, ou sociale)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9F13F0" w:rsidRPr="009F13F0" w:rsidRDefault="009F13F0" w:rsidP="007541DA">
            <w:pPr>
              <w:jc w:val="center"/>
              <w:rPr>
                <w:rFonts w:ascii="TheSans-Plain" w:hAnsi="TheSans-Plain" w:cstheme="minorHAnsi"/>
                <w:lang w:val="fr-FR"/>
              </w:rPr>
            </w:pPr>
            <w:r w:rsidRPr="009F13F0">
              <w:rPr>
                <w:rFonts w:ascii="TheSans-Plain" w:hAnsi="TheSans-Plain" w:cstheme="minorHAnsi"/>
                <w:lang w:val="fr-FR"/>
              </w:rPr>
              <w:t>27</w:t>
            </w:r>
          </w:p>
        </w:tc>
      </w:tr>
      <w:tr w:rsidR="009F13F0" w:rsidRPr="009F13F0" w:rsidTr="007541DA">
        <w:trPr>
          <w:trHeight w:val="398"/>
        </w:trPr>
        <w:tc>
          <w:tcPr>
            <w:tcW w:w="86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9F13F0" w:rsidRPr="009F13F0" w:rsidRDefault="009F13F0" w:rsidP="009F13F0">
            <w:pPr>
              <w:rPr>
                <w:rFonts w:ascii="TheSans-Plain" w:hAnsi="TheSans-Plain" w:cstheme="minorHAnsi"/>
                <w:lang w:val="fr-FR"/>
              </w:rPr>
            </w:pPr>
            <w:r>
              <w:rPr>
                <w:rFonts w:ascii="TheSans-Plain" w:hAnsi="TheSans-Plain" w:cstheme="minorHAnsi"/>
                <w:lang w:val="fr-FR"/>
              </w:rPr>
              <w:t>Module</w:t>
            </w:r>
            <w:r w:rsidRPr="009F13F0">
              <w:rPr>
                <w:rFonts w:ascii="TheSans-Plain" w:hAnsi="TheSans-Plain" w:cstheme="minorHAnsi"/>
                <w:lang w:val="fr-FR"/>
              </w:rPr>
              <w:t xml:space="preserve"> stage</w:t>
            </w:r>
            <w:r w:rsidRPr="009F13F0" w:rsidDel="002C74BC">
              <w:rPr>
                <w:rFonts w:ascii="TheSans-Plain" w:hAnsi="TheSans-Plain" w:cstheme="minorHAnsi"/>
                <w:lang w:val="fr-FR"/>
              </w:rPr>
              <w:t xml:space="preserve"> </w:t>
            </w:r>
            <w:r w:rsidRPr="009F13F0">
              <w:rPr>
                <w:rFonts w:ascii="TheSans-Plain" w:hAnsi="TheSans-Plain" w:cstheme="minorHAnsi"/>
                <w:lang w:val="fr-FR"/>
              </w:rPr>
              <w:t>(dans une des deux orientations choisies)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9F13F0" w:rsidRPr="009F13F0" w:rsidRDefault="009F13F0" w:rsidP="007541DA">
            <w:pPr>
              <w:jc w:val="center"/>
              <w:rPr>
                <w:rFonts w:ascii="TheSans-Plain" w:hAnsi="TheSans-Plain" w:cstheme="minorHAnsi"/>
                <w:lang w:val="fr-FR"/>
              </w:rPr>
            </w:pPr>
            <w:r w:rsidRPr="009F13F0">
              <w:rPr>
                <w:rFonts w:ascii="TheSans-Plain" w:hAnsi="TheSans-Plain" w:cstheme="minorHAnsi"/>
                <w:lang w:val="fr-FR"/>
              </w:rPr>
              <w:t>15</w:t>
            </w:r>
          </w:p>
        </w:tc>
      </w:tr>
      <w:tr w:rsidR="009F13F0" w:rsidRPr="009F13F0" w:rsidTr="007541DA">
        <w:trPr>
          <w:trHeight w:val="394"/>
        </w:trPr>
        <w:tc>
          <w:tcPr>
            <w:tcW w:w="86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9F13F0" w:rsidRPr="009F13F0" w:rsidRDefault="009F13F0" w:rsidP="007541DA">
            <w:pPr>
              <w:rPr>
                <w:rFonts w:ascii="TheSans-Plain" w:hAnsi="TheSans-Plain" w:cstheme="minorHAnsi"/>
                <w:lang w:val="fr-FR"/>
              </w:rPr>
            </w:pPr>
            <w:r w:rsidRPr="009F13F0">
              <w:rPr>
                <w:rFonts w:ascii="TheSans-Plain" w:hAnsi="TheSans-Plain" w:cstheme="minorHAnsi"/>
                <w:lang w:val="fr-FR"/>
              </w:rPr>
              <w:t>Méthodologie et analyse des données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9F13F0" w:rsidRPr="009F13F0" w:rsidRDefault="009F13F0" w:rsidP="007541DA">
            <w:pPr>
              <w:jc w:val="center"/>
              <w:rPr>
                <w:rFonts w:ascii="TheSans-Plain" w:hAnsi="TheSans-Plain" w:cstheme="minorHAnsi"/>
                <w:lang w:val="fr-FR"/>
              </w:rPr>
            </w:pPr>
            <w:r w:rsidRPr="009F13F0">
              <w:rPr>
                <w:rFonts w:ascii="TheSans-Plain" w:hAnsi="TheSans-Plain" w:cstheme="minorHAnsi"/>
                <w:lang w:val="fr-FR"/>
              </w:rPr>
              <w:t>9</w:t>
            </w:r>
          </w:p>
        </w:tc>
      </w:tr>
      <w:tr w:rsidR="009F13F0" w:rsidRPr="009F13F0" w:rsidTr="007541DA">
        <w:trPr>
          <w:trHeight w:val="272"/>
        </w:trPr>
        <w:tc>
          <w:tcPr>
            <w:tcW w:w="86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9F13F0" w:rsidRPr="009F13F0" w:rsidRDefault="0004214B" w:rsidP="0004214B">
            <w:pPr>
              <w:rPr>
                <w:rFonts w:ascii="TheSans-Plain" w:hAnsi="TheSans-Plain"/>
              </w:rPr>
            </w:pPr>
            <w:r>
              <w:rPr>
                <w:rFonts w:ascii="TheSans-Plain" w:hAnsi="TheSans-Plain" w:cstheme="minorHAnsi"/>
                <w:lang w:val="fr-FR"/>
              </w:rPr>
              <w:t>Enseignements à option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9F13F0" w:rsidRPr="009F13F0" w:rsidRDefault="009F13F0" w:rsidP="007541DA">
            <w:pPr>
              <w:jc w:val="center"/>
              <w:rPr>
                <w:rFonts w:ascii="TheSans-Plain" w:hAnsi="TheSans-Plain" w:cstheme="minorHAnsi"/>
                <w:lang w:val="fr-FR"/>
              </w:rPr>
            </w:pPr>
            <w:r w:rsidRPr="009F13F0">
              <w:rPr>
                <w:rFonts w:ascii="TheSans-Plain" w:hAnsi="TheSans-Plain" w:cstheme="minorHAnsi"/>
                <w:lang w:val="fr-FR"/>
              </w:rPr>
              <w:t>6</w:t>
            </w:r>
          </w:p>
        </w:tc>
      </w:tr>
      <w:tr w:rsidR="009F13F0" w:rsidRPr="009F13F0" w:rsidTr="007541DA">
        <w:trPr>
          <w:trHeight w:val="422"/>
        </w:trPr>
        <w:tc>
          <w:tcPr>
            <w:tcW w:w="86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9F13F0" w:rsidRPr="009F13F0" w:rsidRDefault="009F13F0" w:rsidP="0004214B">
            <w:pPr>
              <w:rPr>
                <w:rFonts w:ascii="TheSans-Plain" w:hAnsi="TheSans-Plain" w:cstheme="minorHAnsi"/>
                <w:lang w:val="fr-FR"/>
              </w:rPr>
            </w:pPr>
            <w:r w:rsidRPr="009F13F0">
              <w:rPr>
                <w:rFonts w:ascii="TheSans-Plain" w:hAnsi="TheSans-Plain" w:cstheme="minorHAnsi"/>
                <w:lang w:val="fr-FR"/>
              </w:rPr>
              <w:t>Enseignements libres</w:t>
            </w:r>
            <w:r w:rsidRPr="009F13F0">
              <w:rPr>
                <w:rFonts w:ascii="TheSans-Plain" w:hAnsi="TheSans-Plain"/>
                <w:b/>
              </w:rPr>
              <w:t> 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9F13F0" w:rsidRPr="009F13F0" w:rsidRDefault="009F13F0" w:rsidP="007541DA">
            <w:pPr>
              <w:jc w:val="center"/>
              <w:rPr>
                <w:rFonts w:ascii="TheSans-Plain" w:hAnsi="TheSans-Plain" w:cstheme="minorHAnsi"/>
                <w:lang w:val="fr-FR"/>
              </w:rPr>
            </w:pPr>
            <w:r w:rsidRPr="009F13F0">
              <w:rPr>
                <w:rFonts w:ascii="TheSans-Plain" w:hAnsi="TheSans-Plain" w:cstheme="minorHAnsi"/>
                <w:lang w:val="fr-FR"/>
              </w:rPr>
              <w:t>6</w:t>
            </w:r>
          </w:p>
        </w:tc>
      </w:tr>
      <w:tr w:rsidR="009F13F0" w:rsidRPr="009F13F0" w:rsidTr="007541DA">
        <w:trPr>
          <w:trHeight w:val="390"/>
        </w:trPr>
        <w:tc>
          <w:tcPr>
            <w:tcW w:w="86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9F13F0" w:rsidRPr="009F13F0" w:rsidRDefault="009F13F0" w:rsidP="007541DA">
            <w:pPr>
              <w:rPr>
                <w:rFonts w:ascii="TheSans-Plain" w:hAnsi="TheSans-Plain" w:cstheme="minorHAnsi"/>
                <w:lang w:val="fr-FR"/>
              </w:rPr>
            </w:pPr>
            <w:r w:rsidRPr="009F13F0">
              <w:rPr>
                <w:rFonts w:ascii="TheSans-Plain" w:hAnsi="TheSans-Plain" w:cstheme="minorHAnsi"/>
                <w:lang w:val="fr-FR"/>
              </w:rPr>
              <w:t>Mémoire et colloque de recherche (liés à une des deux orientations choisies)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9F13F0" w:rsidRPr="009F13F0" w:rsidRDefault="009F13F0" w:rsidP="007541DA">
            <w:pPr>
              <w:jc w:val="center"/>
              <w:rPr>
                <w:rFonts w:ascii="TheSans-Plain" w:hAnsi="TheSans-Plain" w:cstheme="minorHAnsi"/>
                <w:lang w:val="fr-FR"/>
              </w:rPr>
            </w:pPr>
            <w:r w:rsidRPr="009F13F0">
              <w:rPr>
                <w:rFonts w:ascii="TheSans-Plain" w:hAnsi="TheSans-Plain" w:cstheme="minorHAnsi"/>
                <w:lang w:val="fr-FR"/>
              </w:rPr>
              <w:t>30</w:t>
            </w:r>
          </w:p>
        </w:tc>
      </w:tr>
      <w:tr w:rsidR="009F13F0" w:rsidRPr="009F13F0" w:rsidTr="007541DA">
        <w:trPr>
          <w:trHeight w:val="398"/>
        </w:trPr>
        <w:tc>
          <w:tcPr>
            <w:tcW w:w="86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</w:tcPr>
          <w:p w:rsidR="009F13F0" w:rsidRPr="009F13F0" w:rsidRDefault="009F13F0" w:rsidP="007541DA">
            <w:pPr>
              <w:rPr>
                <w:rFonts w:ascii="TheSans-Plain" w:hAnsi="TheSans-Plain" w:cstheme="minorHAnsi"/>
                <w:lang w:val="fr-FR"/>
              </w:rPr>
            </w:pPr>
            <w:r w:rsidRPr="009F13F0">
              <w:rPr>
                <w:rFonts w:ascii="TheSans-Plain" w:hAnsi="TheSans-Plain" w:cstheme="minorHAnsi"/>
                <w:lang w:val="fr-FR"/>
              </w:rPr>
              <w:t>TOTAL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</w:tcPr>
          <w:p w:rsidR="009F13F0" w:rsidRPr="009F13F0" w:rsidRDefault="009F13F0" w:rsidP="007541DA">
            <w:pPr>
              <w:jc w:val="center"/>
              <w:rPr>
                <w:rFonts w:ascii="TheSans-Plain" w:hAnsi="TheSans-Plain" w:cstheme="minorHAnsi"/>
                <w:lang w:val="fr-FR"/>
              </w:rPr>
            </w:pPr>
            <w:r w:rsidRPr="009F13F0">
              <w:rPr>
                <w:rFonts w:ascii="TheSans-Plain" w:hAnsi="TheSans-Plain" w:cstheme="minorHAnsi"/>
                <w:lang w:val="fr-FR"/>
              </w:rPr>
              <w:t>120</w:t>
            </w:r>
          </w:p>
        </w:tc>
      </w:tr>
    </w:tbl>
    <w:p w:rsidR="009F13F0" w:rsidRPr="00932A61" w:rsidRDefault="009F13F0" w:rsidP="009F13F0">
      <w:pPr>
        <w:pStyle w:val="normalcat"/>
      </w:pPr>
    </w:p>
    <w:p w:rsidR="009F13F0" w:rsidRPr="00932A61" w:rsidRDefault="009F13F0" w:rsidP="009F13F0">
      <w:pPr>
        <w:pStyle w:val="normalcat"/>
      </w:pPr>
    </w:p>
    <w:p w:rsidR="0004214B" w:rsidRDefault="0004214B" w:rsidP="0004214B">
      <w:pPr>
        <w:pStyle w:val="titres-plans-master"/>
      </w:pPr>
      <w:r>
        <w:t>Enseignements à option et libres – 12 crédits</w:t>
      </w:r>
    </w:p>
    <w:p w:rsidR="0004214B" w:rsidRDefault="0004214B" w:rsidP="0004214B">
      <w:pPr>
        <w:pStyle w:val="titres-plans-master"/>
      </w:pPr>
    </w:p>
    <w:p w:rsidR="0004214B" w:rsidRDefault="0004214B" w:rsidP="0004214B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Les 6 crédits d’enseignements à option peuvent être choisis dans les deux listes d’enseignements à option de</w:t>
      </w:r>
      <w:bookmarkStart w:id="2" w:name="_GoBack"/>
      <w:bookmarkEnd w:id="2"/>
      <w:r>
        <w:rPr>
          <w:b/>
        </w:rPr>
        <w:t>s deux orientations fondamentales A et B.</w:t>
      </w:r>
    </w:p>
    <w:p w:rsidR="0004214B" w:rsidRPr="00603EC9" w:rsidRDefault="0004214B" w:rsidP="0004214B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Les 6 crédits libres peuvent être choisis dans l’ensemble des cours de niveau Master de l’Université de Genève ou d’une autre université suisse.</w:t>
      </w:r>
    </w:p>
    <w:p w:rsidR="0004214B" w:rsidRDefault="0004214B" w:rsidP="0004214B">
      <w:pPr>
        <w:rPr>
          <w:b/>
        </w:rPr>
      </w:pPr>
    </w:p>
    <w:p w:rsidR="009F13F0" w:rsidRDefault="009F13F0" w:rsidP="009F13F0">
      <w:pPr>
        <w:rPr>
          <w:b/>
        </w:rPr>
      </w:pPr>
    </w:p>
    <w:p w:rsidR="009F13F0" w:rsidRPr="009F13F0" w:rsidRDefault="009F13F0" w:rsidP="009F13F0">
      <w:pPr>
        <w:rPr>
          <w:rFonts w:ascii="TheSans-Plain" w:hAnsi="TheSans-Plain"/>
          <w:b/>
        </w:rPr>
      </w:pPr>
    </w:p>
    <w:p w:rsidR="009F13F0" w:rsidRPr="009F13F0" w:rsidRDefault="009F13F0" w:rsidP="009F13F0">
      <w:pPr>
        <w:pStyle w:val="titres-plans-master"/>
      </w:pPr>
      <w:r w:rsidRPr="009F13F0">
        <w:t>Module stage - 15 crédits</w:t>
      </w:r>
    </w:p>
    <w:p w:rsidR="009F13F0" w:rsidRPr="009F13F0" w:rsidRDefault="009F13F0" w:rsidP="009F13F0">
      <w:pPr>
        <w:rPr>
          <w:rFonts w:ascii="TheSans-Plain" w:hAnsi="TheSans-Plain"/>
          <w:b/>
        </w:rPr>
      </w:pPr>
      <w:r w:rsidRPr="009F13F0">
        <w:rPr>
          <w:rFonts w:ascii="TheSans-Plain" w:hAnsi="TheSans-Plain"/>
          <w:b/>
        </w:rPr>
        <w:t>A choisir dans les stages proposés par l’orientation A ou B.</w:t>
      </w:r>
    </w:p>
    <w:tbl>
      <w:tblPr>
        <w:tblW w:w="965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"/>
        <w:gridCol w:w="3969"/>
        <w:gridCol w:w="850"/>
        <w:gridCol w:w="2410"/>
        <w:gridCol w:w="1561"/>
      </w:tblGrid>
      <w:tr w:rsidR="009F13F0" w:rsidRPr="009F13F0" w:rsidTr="007541DA">
        <w:trPr>
          <w:trHeight w:hRule="exact" w:val="340"/>
        </w:trPr>
        <w:tc>
          <w:tcPr>
            <w:tcW w:w="8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9F13F0" w:rsidRPr="009F13F0" w:rsidRDefault="009F13F0" w:rsidP="007541DA">
            <w:pPr>
              <w:pStyle w:val="codetabcat"/>
              <w:rPr>
                <w:sz w:val="16"/>
                <w:szCs w:val="16"/>
              </w:rPr>
            </w:pPr>
            <w:r w:rsidRPr="009F13F0">
              <w:rPr>
                <w:sz w:val="16"/>
                <w:szCs w:val="16"/>
              </w:rPr>
              <w:t>751STRE15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9F13F0" w:rsidRPr="009F13F0" w:rsidRDefault="009F13F0" w:rsidP="007541DA">
            <w:pPr>
              <w:pStyle w:val="tableaucat"/>
            </w:pPr>
            <w:r w:rsidRPr="009F13F0">
              <w:t>Stage de recherche dans un labo UNIGE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9F13F0" w:rsidRPr="009F13F0" w:rsidRDefault="009F13F0" w:rsidP="007541DA">
            <w:pPr>
              <w:pStyle w:val="creditscat"/>
            </w:pPr>
            <w:r w:rsidRPr="009F13F0">
              <w:t>15</w:t>
            </w:r>
          </w:p>
        </w:tc>
        <w:tc>
          <w:tcPr>
            <w:tcW w:w="2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9F13F0" w:rsidRPr="009F13F0" w:rsidRDefault="009F13F0" w:rsidP="007541DA">
            <w:pPr>
              <w:pStyle w:val="tableaucat"/>
            </w:pPr>
          </w:p>
        </w:tc>
        <w:tc>
          <w:tcPr>
            <w:tcW w:w="156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9F13F0" w:rsidRPr="009F13F0" w:rsidRDefault="009F13F0" w:rsidP="007541DA">
            <w:pPr>
              <w:pStyle w:val="creditscat"/>
            </w:pPr>
            <w:r w:rsidRPr="009F13F0">
              <w:t>AN ou A ou P</w:t>
            </w:r>
          </w:p>
        </w:tc>
      </w:tr>
      <w:tr w:rsidR="009F13F0" w:rsidRPr="009F13F0" w:rsidTr="007541DA">
        <w:trPr>
          <w:trHeight w:hRule="exact" w:val="340"/>
        </w:trPr>
        <w:tc>
          <w:tcPr>
            <w:tcW w:w="8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9F13F0" w:rsidRPr="009F13F0" w:rsidRDefault="009F13F0" w:rsidP="007541DA">
            <w:pPr>
              <w:pStyle w:val="codetabcat"/>
              <w:rPr>
                <w:sz w:val="16"/>
                <w:szCs w:val="16"/>
              </w:rPr>
            </w:pPr>
            <w:r w:rsidRPr="009F13F0">
              <w:rPr>
                <w:sz w:val="16"/>
                <w:szCs w:val="16"/>
              </w:rPr>
              <w:t>751STTE15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9F13F0" w:rsidRPr="009F13F0" w:rsidRDefault="009F13F0" w:rsidP="007541DA">
            <w:pPr>
              <w:pStyle w:val="tableaucat"/>
            </w:pPr>
            <w:r w:rsidRPr="009F13F0">
              <w:t>Stage de terrain</w:t>
            </w:r>
            <w:r>
              <w:t xml:space="preserve"> (en sociale uniquement)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9F13F0" w:rsidRPr="009F13F0" w:rsidRDefault="009F13F0" w:rsidP="007541DA">
            <w:pPr>
              <w:pStyle w:val="creditscat"/>
            </w:pPr>
            <w:r w:rsidRPr="009F13F0">
              <w:t>15</w:t>
            </w:r>
          </w:p>
        </w:tc>
        <w:tc>
          <w:tcPr>
            <w:tcW w:w="2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9F13F0" w:rsidRPr="009F13F0" w:rsidRDefault="009F13F0" w:rsidP="007541DA">
            <w:pPr>
              <w:pStyle w:val="tableaucat"/>
            </w:pPr>
          </w:p>
        </w:tc>
        <w:tc>
          <w:tcPr>
            <w:tcW w:w="156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9F13F0" w:rsidRPr="009F13F0" w:rsidRDefault="009F13F0" w:rsidP="007541DA">
            <w:pPr>
              <w:pStyle w:val="creditscat"/>
            </w:pPr>
            <w:r w:rsidRPr="009F13F0">
              <w:t>AN ou A ou P</w:t>
            </w:r>
          </w:p>
        </w:tc>
      </w:tr>
    </w:tbl>
    <w:p w:rsidR="009F13F0" w:rsidRPr="009F13F0" w:rsidRDefault="009F13F0" w:rsidP="009F13F0">
      <w:pPr>
        <w:rPr>
          <w:rFonts w:ascii="TheSans-Plain" w:hAnsi="TheSans-Plain"/>
          <w:b/>
        </w:rPr>
      </w:pPr>
    </w:p>
    <w:p w:rsidR="008402B8" w:rsidRPr="009F13F0" w:rsidRDefault="008402B8" w:rsidP="009F13F0">
      <w:pPr>
        <w:pStyle w:val="soustitre1"/>
        <w:rPr>
          <w:rFonts w:ascii="TheSans-Plain" w:hAnsi="TheSans-Plain"/>
          <w:b/>
          <w:i/>
          <w:iCs/>
          <w:color w:val="333333"/>
          <w:sz w:val="26"/>
          <w:szCs w:val="20"/>
          <w:lang w:val="fr-FR"/>
        </w:rPr>
      </w:pPr>
    </w:p>
    <w:sectPr w:rsidR="008402B8" w:rsidRPr="009F1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14B" w:rsidRDefault="0004214B" w:rsidP="0004214B">
      <w:r>
        <w:separator/>
      </w:r>
    </w:p>
  </w:endnote>
  <w:endnote w:type="continuationSeparator" w:id="0">
    <w:p w:rsidR="0004214B" w:rsidRDefault="0004214B" w:rsidP="0004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eSansBold-Plain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eSans-Plain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14B" w:rsidRDefault="0004214B" w:rsidP="0004214B">
      <w:r>
        <w:separator/>
      </w:r>
    </w:p>
  </w:footnote>
  <w:footnote w:type="continuationSeparator" w:id="0">
    <w:p w:rsidR="0004214B" w:rsidRDefault="0004214B" w:rsidP="00042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2144"/>
    <w:multiLevelType w:val="hybridMultilevel"/>
    <w:tmpl w:val="FEDA8710"/>
    <w:lvl w:ilvl="0" w:tplc="BAC259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52B71"/>
    <w:multiLevelType w:val="hybridMultilevel"/>
    <w:tmpl w:val="9D02C8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20"/>
    <w:rsid w:val="0004214B"/>
    <w:rsid w:val="008402B8"/>
    <w:rsid w:val="009F13F0"/>
    <w:rsid w:val="00F1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222564-02F1-478D-BF4E-09B30E10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3F0"/>
    <w:pPr>
      <w:spacing w:after="0" w:line="240" w:lineRule="auto"/>
      <w:jc w:val="both"/>
    </w:pPr>
    <w:rPr>
      <w:rFonts w:ascii="Arial Narrow" w:eastAsia="Times New Roman" w:hAnsi="Arial Narrow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F13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autoRedefine/>
    <w:qFormat/>
    <w:rsid w:val="009F13F0"/>
    <w:pPr>
      <w:keepLines w:val="0"/>
      <w:spacing w:before="0" w:line="360" w:lineRule="exact"/>
      <w:jc w:val="left"/>
      <w:outlineLvl w:val="1"/>
    </w:pPr>
    <w:rPr>
      <w:rFonts w:ascii="TheSansBold-Plain" w:eastAsia="Times New Roman" w:hAnsi="TheSansBold-Plain" w:cs="Times New Roman"/>
      <w:b/>
      <w:bCs/>
      <w:noProof/>
      <w:color w:val="808080"/>
      <w:u w:color="999999"/>
      <w:lang w:eastAsia="fr-CH"/>
    </w:rPr>
  </w:style>
  <w:style w:type="paragraph" w:styleId="Titre3">
    <w:name w:val="heading 3"/>
    <w:basedOn w:val="Normal"/>
    <w:next w:val="Normal"/>
    <w:link w:val="Titre3Car"/>
    <w:autoRedefine/>
    <w:qFormat/>
    <w:rsid w:val="009F13F0"/>
    <w:pPr>
      <w:keepNext/>
      <w:tabs>
        <w:tab w:val="left" w:pos="425"/>
      </w:tabs>
      <w:spacing w:after="60" w:line="280" w:lineRule="exact"/>
      <w:jc w:val="left"/>
      <w:outlineLvl w:val="2"/>
    </w:pPr>
    <w:rPr>
      <w:rFonts w:ascii="TheSans-Plain" w:hAnsi="TheSans-Plain"/>
      <w:bCs/>
      <w:noProof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F13F0"/>
    <w:rPr>
      <w:rFonts w:ascii="TheSansBold-Plain" w:eastAsia="Times New Roman" w:hAnsi="TheSansBold-Plain" w:cs="Times New Roman"/>
      <w:b/>
      <w:bCs/>
      <w:noProof/>
      <w:color w:val="808080"/>
      <w:sz w:val="32"/>
      <w:szCs w:val="32"/>
      <w:u w:color="999999"/>
      <w:lang w:eastAsia="fr-CH"/>
    </w:rPr>
  </w:style>
  <w:style w:type="character" w:customStyle="1" w:styleId="Titre3Car">
    <w:name w:val="Titre 3 Car"/>
    <w:basedOn w:val="Policepardfaut"/>
    <w:link w:val="Titre3"/>
    <w:rsid w:val="009F13F0"/>
    <w:rPr>
      <w:rFonts w:ascii="TheSans-Plain" w:eastAsia="Times New Roman" w:hAnsi="TheSans-Plain" w:cs="Times New Roman"/>
      <w:bCs/>
      <w:noProof/>
      <w:sz w:val="24"/>
      <w:szCs w:val="24"/>
      <w:lang w:val="fr-FR" w:eastAsia="fr-FR"/>
    </w:rPr>
  </w:style>
  <w:style w:type="paragraph" w:customStyle="1" w:styleId="normalcat">
    <w:name w:val="normal cat"/>
    <w:basedOn w:val="Normal"/>
    <w:link w:val="normalcatCar"/>
    <w:autoRedefine/>
    <w:rsid w:val="009F13F0"/>
    <w:pPr>
      <w:tabs>
        <w:tab w:val="left" w:pos="993"/>
      </w:tabs>
      <w:spacing w:line="240" w:lineRule="exact"/>
      <w:ind w:left="284"/>
    </w:pPr>
    <w:rPr>
      <w:rFonts w:ascii="TheSans-Plain" w:hAnsi="TheSans-Plain" w:cs="Arial"/>
      <w:sz w:val="19"/>
      <w:szCs w:val="19"/>
      <w:lang w:val="fr-FR"/>
    </w:rPr>
  </w:style>
  <w:style w:type="character" w:customStyle="1" w:styleId="normalcatCar">
    <w:name w:val="normal cat Car"/>
    <w:link w:val="normalcat"/>
    <w:rsid w:val="009F13F0"/>
    <w:rPr>
      <w:rFonts w:ascii="TheSans-Plain" w:eastAsia="Times New Roman" w:hAnsi="TheSans-Plain" w:cs="Arial"/>
      <w:sz w:val="19"/>
      <w:szCs w:val="19"/>
      <w:lang w:val="fr-FR" w:eastAsia="fr-FR"/>
    </w:rPr>
  </w:style>
  <w:style w:type="paragraph" w:customStyle="1" w:styleId="soustitre1">
    <w:name w:val="soustitre 1"/>
    <w:next w:val="normalcat"/>
    <w:autoRedefine/>
    <w:rsid w:val="009F13F0"/>
    <w:pPr>
      <w:spacing w:after="0" w:line="240" w:lineRule="auto"/>
    </w:pPr>
    <w:rPr>
      <w:rFonts w:ascii="TheSansBold-Plain" w:eastAsia="Times New Roman" w:hAnsi="TheSansBold-Plain" w:cs="Times New Roman"/>
      <w:bCs/>
      <w:noProof/>
      <w:color w:val="808080"/>
      <w:sz w:val="28"/>
      <w:szCs w:val="28"/>
      <w:u w:color="999999"/>
      <w:shd w:val="clear" w:color="auto" w:fill="FFFFFF"/>
      <w:lang w:val="en-GB" w:eastAsia="fr-FR"/>
    </w:rPr>
  </w:style>
  <w:style w:type="paragraph" w:customStyle="1" w:styleId="tableaucat">
    <w:name w:val="tableau cat"/>
    <w:basedOn w:val="Normal"/>
    <w:link w:val="tableaucatCar"/>
    <w:autoRedefine/>
    <w:rsid w:val="009F13F0"/>
    <w:pPr>
      <w:spacing w:line="220" w:lineRule="exact"/>
      <w:jc w:val="left"/>
    </w:pPr>
    <w:rPr>
      <w:rFonts w:ascii="TheSans-Plain" w:hAnsi="TheSans-Plain" w:cs="Arial"/>
      <w:sz w:val="18"/>
      <w:szCs w:val="16"/>
      <w:lang w:val="fr-FR"/>
    </w:rPr>
  </w:style>
  <w:style w:type="paragraph" w:customStyle="1" w:styleId="codetabcat">
    <w:name w:val="code tab cat"/>
    <w:basedOn w:val="tableaucat"/>
    <w:link w:val="codetabcatCar"/>
    <w:autoRedefine/>
    <w:rsid w:val="009F13F0"/>
    <w:rPr>
      <w:szCs w:val="18"/>
    </w:rPr>
  </w:style>
  <w:style w:type="character" w:customStyle="1" w:styleId="tableaucatCar">
    <w:name w:val="tableau cat Car"/>
    <w:link w:val="tableaucat"/>
    <w:rsid w:val="009F13F0"/>
    <w:rPr>
      <w:rFonts w:ascii="TheSans-Plain" w:eastAsia="Times New Roman" w:hAnsi="TheSans-Plain" w:cs="Arial"/>
      <w:sz w:val="18"/>
      <w:szCs w:val="16"/>
      <w:lang w:val="fr-FR" w:eastAsia="fr-FR"/>
    </w:rPr>
  </w:style>
  <w:style w:type="character" w:customStyle="1" w:styleId="codetabcatCar">
    <w:name w:val="code tab cat Car"/>
    <w:link w:val="codetabcat"/>
    <w:rsid w:val="009F13F0"/>
    <w:rPr>
      <w:rFonts w:ascii="TheSans-Plain" w:eastAsia="Times New Roman" w:hAnsi="TheSans-Plain" w:cs="Arial"/>
      <w:sz w:val="18"/>
      <w:szCs w:val="18"/>
      <w:lang w:val="fr-FR" w:eastAsia="fr-FR"/>
    </w:rPr>
  </w:style>
  <w:style w:type="paragraph" w:customStyle="1" w:styleId="creditscat">
    <w:name w:val="credits cat"/>
    <w:basedOn w:val="tableaucat"/>
    <w:autoRedefine/>
    <w:rsid w:val="009F13F0"/>
    <w:pPr>
      <w:jc w:val="center"/>
    </w:pPr>
  </w:style>
  <w:style w:type="paragraph" w:customStyle="1" w:styleId="notebastabcat">
    <w:name w:val="note bas tab cat"/>
    <w:basedOn w:val="tableaucat"/>
    <w:autoRedefine/>
    <w:rsid w:val="009F13F0"/>
    <w:pPr>
      <w:ind w:left="284" w:right="284" w:hanging="284"/>
    </w:pPr>
    <w:rPr>
      <w:szCs w:val="18"/>
    </w:rPr>
  </w:style>
  <w:style w:type="paragraph" w:styleId="Paragraphedeliste">
    <w:name w:val="List Paragraph"/>
    <w:basedOn w:val="Normal"/>
    <w:uiPriority w:val="34"/>
    <w:qFormat/>
    <w:rsid w:val="009F13F0"/>
    <w:pPr>
      <w:spacing w:after="200" w:line="276" w:lineRule="auto"/>
      <w:ind w:left="720"/>
      <w:contextualSpacing/>
      <w:jc w:val="left"/>
    </w:pPr>
    <w:rPr>
      <w:rFonts w:ascii="Calibri" w:eastAsia="Cambria" w:hAnsi="Calibri"/>
      <w:sz w:val="22"/>
      <w:szCs w:val="22"/>
      <w:lang w:val="fr-FR" w:eastAsia="en-US"/>
    </w:rPr>
  </w:style>
  <w:style w:type="paragraph" w:customStyle="1" w:styleId="titres-plans-master">
    <w:name w:val="titres-plans-master"/>
    <w:basedOn w:val="Normal"/>
    <w:autoRedefine/>
    <w:qFormat/>
    <w:rsid w:val="009F13F0"/>
    <w:pPr>
      <w:tabs>
        <w:tab w:val="left" w:pos="1348"/>
        <w:tab w:val="left" w:pos="5190"/>
      </w:tabs>
      <w:spacing w:line="220" w:lineRule="exact"/>
      <w:jc w:val="left"/>
    </w:pPr>
    <w:rPr>
      <w:rFonts w:ascii="TheSans-Plain" w:hAnsi="TheSans-Plain" w:cs="Arial"/>
      <w:b/>
      <w:sz w:val="22"/>
      <w:szCs w:val="22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F13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4214B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4214B"/>
    <w:rPr>
      <w:rFonts w:ascii="Arial Narrow" w:eastAsia="Times New Roman" w:hAnsi="Arial Narrow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4214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4214B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4214B"/>
    <w:rPr>
      <w:rFonts w:ascii="Arial Narrow" w:eastAsia="Times New Roman" w:hAnsi="Arial Narrow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421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D3516-21CD-4F2C-8312-99A2724F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909</Characters>
  <Application>Microsoft Office Word</Application>
  <DocSecurity>0</DocSecurity>
  <Lines>7</Lines>
  <Paragraphs>2</Paragraphs>
  <ScaleCrop>false</ScaleCrop>
  <Company>Unige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pasche</dc:creator>
  <cp:keywords/>
  <dc:description/>
  <cp:lastModifiedBy>pasche</cp:lastModifiedBy>
  <cp:revision>3</cp:revision>
  <dcterms:created xsi:type="dcterms:W3CDTF">2015-07-13T15:03:00Z</dcterms:created>
  <dcterms:modified xsi:type="dcterms:W3CDTF">2015-07-13T15:13:00Z</dcterms:modified>
</cp:coreProperties>
</file>