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CF8E" w14:textId="77777777" w:rsidR="0037217D" w:rsidRPr="00607C79" w:rsidRDefault="0037217D" w:rsidP="00B5097B">
      <w:pPr>
        <w:pStyle w:val="Titre"/>
        <w:jc w:val="center"/>
        <w:rPr>
          <w:sz w:val="56"/>
        </w:rPr>
      </w:pPr>
      <w:bookmarkStart w:id="0" w:name="OLE_LINK1"/>
      <w:bookmarkStart w:id="1" w:name="OLE_LINK2"/>
    </w:p>
    <w:p w14:paraId="12424FB5" w14:textId="77777777" w:rsidR="0085162C" w:rsidRPr="00B5097B" w:rsidRDefault="00401F4A" w:rsidP="0008744A">
      <w:pPr>
        <w:pStyle w:val="Titre"/>
        <w:spacing w:after="120"/>
        <w:jc w:val="center"/>
        <w:rPr>
          <w:sz w:val="40"/>
        </w:rPr>
      </w:pPr>
      <w:r w:rsidRPr="00B5097B">
        <w:rPr>
          <w:sz w:val="40"/>
        </w:rPr>
        <w:t>SCOAP</w:t>
      </w:r>
      <w:r w:rsidRPr="00B5097B">
        <w:rPr>
          <w:sz w:val="40"/>
          <w:vertAlign w:val="superscript"/>
        </w:rPr>
        <w:t>3</w:t>
      </w:r>
      <w:r w:rsidR="003C5685">
        <w:rPr>
          <w:sz w:val="40"/>
        </w:rPr>
        <w:t xml:space="preserve"> in Switzerland:</w:t>
      </w:r>
      <w:r w:rsidR="003C5685">
        <w:rPr>
          <w:sz w:val="40"/>
        </w:rPr>
        <w:br/>
        <w:t>Cost a</w:t>
      </w:r>
      <w:r w:rsidR="0085162C" w:rsidRPr="00B5097B">
        <w:rPr>
          <w:sz w:val="40"/>
        </w:rPr>
        <w:t>llocation</w:t>
      </w:r>
      <w:r w:rsidR="003C5685">
        <w:rPr>
          <w:sz w:val="40"/>
        </w:rPr>
        <w:t xml:space="preserve"> for </w:t>
      </w:r>
      <w:r w:rsidR="00E15A53">
        <w:rPr>
          <w:sz w:val="40"/>
        </w:rPr>
        <w:t xml:space="preserve">the </w:t>
      </w:r>
      <w:r w:rsidR="003C5685">
        <w:rPr>
          <w:sz w:val="40"/>
        </w:rPr>
        <w:t>third phase (</w:t>
      </w:r>
      <w:r w:rsidR="0085162C" w:rsidRPr="00B5097B">
        <w:rPr>
          <w:sz w:val="40"/>
        </w:rPr>
        <w:t>20</w:t>
      </w:r>
      <w:r w:rsidR="003C5685">
        <w:rPr>
          <w:sz w:val="40"/>
        </w:rPr>
        <w:t>20-2022)</w:t>
      </w:r>
    </w:p>
    <w:p w14:paraId="14F8936C" w14:textId="77777777" w:rsidR="001C7905" w:rsidRPr="00401F4A" w:rsidRDefault="00E15A53" w:rsidP="001C7905">
      <w:pPr>
        <w:pStyle w:val="Titre1"/>
      </w:pPr>
      <w:r>
        <w:t>Preamble</w:t>
      </w:r>
    </w:p>
    <w:p w14:paraId="1F3C4059" w14:textId="77777777" w:rsidR="001C7905" w:rsidRPr="00595773" w:rsidRDefault="003C5685" w:rsidP="001C7905">
      <w:pPr>
        <w:spacing w:before="0" w:after="240"/>
      </w:pPr>
      <w:r>
        <w:t xml:space="preserve">As we did for the </w:t>
      </w:r>
      <w:r w:rsidR="00E15A53">
        <w:t xml:space="preserve">two previous </w:t>
      </w:r>
      <w:r>
        <w:t>3-year cycles of the SCOAP3 initiative, the Geneva University Library de</w:t>
      </w:r>
      <w:r w:rsidR="001C7905">
        <w:t>termine</w:t>
      </w:r>
      <w:r>
        <w:t>d</w:t>
      </w:r>
      <w:r w:rsidR="001C7905">
        <w:t xml:space="preserve"> the </w:t>
      </w:r>
      <w:r w:rsidR="00B5097B">
        <w:t xml:space="preserve">cost </w:t>
      </w:r>
      <w:r w:rsidR="001C7905">
        <w:t>distribution among the Swiss partners</w:t>
      </w:r>
      <w:r>
        <w:t xml:space="preserve">, </w:t>
      </w:r>
      <w:r w:rsidR="00E15A53">
        <w:t>following</w:t>
      </w:r>
      <w:r>
        <w:t xml:space="preserve"> the methodology </w:t>
      </w:r>
      <w:r w:rsidR="00E15A53">
        <w:t>defined</w:t>
      </w:r>
      <w:r>
        <w:t xml:space="preserve"> in 2016, and </w:t>
      </w:r>
      <w:r w:rsidR="00E15A53">
        <w:t>using publication</w:t>
      </w:r>
      <w:r>
        <w:t xml:space="preserve"> data from the three last</w:t>
      </w:r>
      <w:r w:rsidR="00E15A53">
        <w:t xml:space="preserve"> complete</w:t>
      </w:r>
      <w:r>
        <w:t xml:space="preserve"> years</w:t>
      </w:r>
      <w:r w:rsidR="00E15A53">
        <w:t xml:space="preserve"> (2016-2018)</w:t>
      </w:r>
      <w:r>
        <w:t>.</w:t>
      </w:r>
    </w:p>
    <w:p w14:paraId="657D4CF4" w14:textId="77777777" w:rsidR="00283ABA" w:rsidRPr="00874DA5" w:rsidRDefault="00283ABA" w:rsidP="005776A0">
      <w:pPr>
        <w:pStyle w:val="Titre1"/>
      </w:pPr>
      <w:r w:rsidRPr="00874DA5">
        <w:t>Background</w:t>
      </w:r>
    </w:p>
    <w:p w14:paraId="12FE1671" w14:textId="77777777" w:rsidR="0085162C" w:rsidRDefault="00283ABA" w:rsidP="005776A0">
      <w:pPr>
        <w:spacing w:before="0" w:after="240"/>
      </w:pPr>
      <w:r w:rsidRPr="00401F4A">
        <w:t>SCOAP3 is an international consortium constituted by 4</w:t>
      </w:r>
      <w:r w:rsidR="009275BA">
        <w:t>7 countries and Intergovernmental O</w:t>
      </w:r>
      <w:r w:rsidRPr="00401F4A">
        <w:t>rganisations (a</w:t>
      </w:r>
      <w:r w:rsidR="005776A0">
        <w:t xml:space="preserve">s of </w:t>
      </w:r>
      <w:r w:rsidR="009275BA">
        <w:t>the present date</w:t>
      </w:r>
      <w:r w:rsidR="005776A0">
        <w:t xml:space="preserve">) </w:t>
      </w:r>
      <w:r w:rsidR="0085162C">
        <w:t xml:space="preserve">aiming to convert </w:t>
      </w:r>
      <w:r w:rsidR="005776A0">
        <w:t xml:space="preserve">subscription based </w:t>
      </w:r>
      <w:r w:rsidR="00DD0BD1">
        <w:t>articles/journals</w:t>
      </w:r>
      <w:r w:rsidRPr="00401F4A">
        <w:t xml:space="preserve"> </w:t>
      </w:r>
      <w:r w:rsidR="006E62CD" w:rsidRPr="00401F4A">
        <w:t>in the field of High Energy Physics</w:t>
      </w:r>
      <w:r w:rsidR="002423DE">
        <w:t xml:space="preserve"> (HEP)</w:t>
      </w:r>
      <w:r w:rsidR="006E62CD" w:rsidRPr="00401F4A">
        <w:t xml:space="preserve"> </w:t>
      </w:r>
      <w:r w:rsidR="0085162C">
        <w:t>in</w:t>
      </w:r>
      <w:r w:rsidRPr="00401F4A">
        <w:t>to full Open Access</w:t>
      </w:r>
      <w:r w:rsidR="00144654">
        <w:t xml:space="preserve"> (</w:t>
      </w:r>
      <w:r w:rsidR="00E15A53">
        <w:t xml:space="preserve">list of journals and partners available on </w:t>
      </w:r>
      <w:hyperlink r:id="rId8" w:history="1">
        <w:r w:rsidR="00E15A53" w:rsidRPr="000A6866">
          <w:rPr>
            <w:rStyle w:val="Lienhypertexte"/>
          </w:rPr>
          <w:t>https://scoap3.org</w:t>
        </w:r>
      </w:hyperlink>
      <w:r w:rsidR="00E15A53">
        <w:t>).</w:t>
      </w:r>
    </w:p>
    <w:p w14:paraId="38AFB2CF" w14:textId="77777777" w:rsidR="00D11E6F" w:rsidRDefault="00283ABA" w:rsidP="005776A0">
      <w:pPr>
        <w:spacing w:before="0" w:after="240"/>
      </w:pPr>
      <w:r w:rsidRPr="00401F4A">
        <w:t xml:space="preserve">The consortium </w:t>
      </w:r>
      <w:r w:rsidR="00D11E6F">
        <w:t>is starting in 2020 it</w:t>
      </w:r>
      <w:r w:rsidRPr="00401F4A">
        <w:t xml:space="preserve">s </w:t>
      </w:r>
      <w:r w:rsidR="00D11E6F">
        <w:t xml:space="preserve">third </w:t>
      </w:r>
      <w:r w:rsidR="007E5DB0">
        <w:t>3</w:t>
      </w:r>
      <w:r w:rsidR="007E5DB0">
        <w:noBreakHyphen/>
      </w:r>
      <w:r w:rsidRPr="00401F4A">
        <w:t xml:space="preserve">year </w:t>
      </w:r>
      <w:r w:rsidR="00DD0BD1">
        <w:t>cycle</w:t>
      </w:r>
      <w:r w:rsidR="00D11E6F">
        <w:t xml:space="preserve"> and has signed new agreements with publishers,</w:t>
      </w:r>
      <w:r w:rsidR="00E15A53">
        <w:t xml:space="preserve"> as always containing cost increase, but</w:t>
      </w:r>
      <w:r w:rsidR="00D11E6F">
        <w:t xml:space="preserve"> introducing a new competitive dimension into them</w:t>
      </w:r>
      <w:r w:rsidR="00E15A53">
        <w:t xml:space="preserve">. </w:t>
      </w:r>
      <w:r w:rsidR="00D11E6F">
        <w:t>More information</w:t>
      </w:r>
      <w:r w:rsidR="00E15A53">
        <w:t xml:space="preserve"> on</w:t>
      </w:r>
      <w:r w:rsidR="00D11E6F">
        <w:t xml:space="preserve"> these agree</w:t>
      </w:r>
      <w:r w:rsidR="00E15A53">
        <w:t>ments to be announced by SCOAP3.</w:t>
      </w:r>
    </w:p>
    <w:p w14:paraId="476B8D29" w14:textId="17F68FFF" w:rsidR="00D11E6F" w:rsidRDefault="00C00F66" w:rsidP="00C00F66">
      <w:pPr>
        <w:spacing w:before="0" w:after="240"/>
      </w:pPr>
      <w:r>
        <w:t xml:space="preserve">In this third phase, all amounts are in euros. CERN used data from the two last years to calculate the </w:t>
      </w:r>
      <w:r w:rsidR="00D11E6F">
        <w:t>weight of Switzerland</w:t>
      </w:r>
      <w:r>
        <w:t xml:space="preserve"> in the High Energy Physics publication field. This weight (1.6% of the total output with a Swiss affiliation)</w:t>
      </w:r>
      <w:r w:rsidR="00D11E6F">
        <w:t xml:space="preserve">, </w:t>
      </w:r>
      <w:r>
        <w:t xml:space="preserve">and therefore </w:t>
      </w:r>
      <w:r w:rsidR="008D4A9A">
        <w:t xml:space="preserve">the </w:t>
      </w:r>
      <w:r w:rsidR="00D11E6F">
        <w:t xml:space="preserve">Swiss </w:t>
      </w:r>
      <w:r>
        <w:t>commitment to the SCOAP3 budget of</w:t>
      </w:r>
      <w:r w:rsidR="006F78B8">
        <w:t xml:space="preserve"> </w:t>
      </w:r>
      <w:r w:rsidR="00D11E6F" w:rsidRPr="00D11E6F">
        <w:rPr>
          <w:b/>
        </w:rPr>
        <w:t>€</w:t>
      </w:r>
      <w:r>
        <w:rPr>
          <w:b/>
        </w:rPr>
        <w:t> </w:t>
      </w:r>
      <w:r w:rsidR="00D11E6F" w:rsidRPr="00D11E6F">
        <w:rPr>
          <w:b/>
        </w:rPr>
        <w:t>171’000.-</w:t>
      </w:r>
      <w:r w:rsidR="008D4A9A" w:rsidRPr="008D4A9A">
        <w:t>, remain very stable</w:t>
      </w:r>
      <w:r w:rsidR="008D4A9A">
        <w:t>.</w:t>
      </w:r>
    </w:p>
    <w:p w14:paraId="04132F32" w14:textId="77777777" w:rsidR="001A2463" w:rsidRDefault="001A2463" w:rsidP="001A2463">
      <w:pPr>
        <w:pStyle w:val="Titre1"/>
      </w:pPr>
      <w:r>
        <w:t>Methodology</w:t>
      </w:r>
      <w:r w:rsidR="006F78B8">
        <w:t xml:space="preserve"> for calculating the Swiss allocation</w:t>
      </w:r>
    </w:p>
    <w:p w14:paraId="6F0647B6" w14:textId="11A3397E" w:rsidR="00283ABA" w:rsidRPr="00595773" w:rsidRDefault="006F78B8" w:rsidP="001A2463">
      <w:pPr>
        <w:spacing w:before="0" w:after="240"/>
      </w:pPr>
      <w:r>
        <w:t>All</w:t>
      </w:r>
      <w:r w:rsidR="00283ABA" w:rsidRPr="00595773">
        <w:t xml:space="preserve"> article</w:t>
      </w:r>
      <w:r>
        <w:t>s</w:t>
      </w:r>
      <w:r w:rsidR="00283ABA" w:rsidRPr="00595773">
        <w:t xml:space="preserve"> published </w:t>
      </w:r>
      <w:r w:rsidR="008D4A9A">
        <w:t xml:space="preserve">from </w:t>
      </w:r>
      <w:r w:rsidR="00283ABA" w:rsidRPr="00595773">
        <w:t>January 1</w:t>
      </w:r>
      <w:r w:rsidR="00283ABA" w:rsidRPr="00595773">
        <w:rPr>
          <w:vertAlign w:val="superscript"/>
        </w:rPr>
        <w:t>st</w:t>
      </w:r>
      <w:r w:rsidR="00283ABA" w:rsidRPr="00595773">
        <w:t xml:space="preserve"> 201</w:t>
      </w:r>
      <w:r>
        <w:t>6</w:t>
      </w:r>
      <w:r w:rsidR="00283ABA" w:rsidRPr="00595773">
        <w:t xml:space="preserve"> to </w:t>
      </w:r>
      <w:r w:rsidR="008D4A9A" w:rsidRPr="00595773">
        <w:t>December</w:t>
      </w:r>
      <w:r w:rsidR="00283ABA" w:rsidRPr="00595773">
        <w:t xml:space="preserve"> 31</w:t>
      </w:r>
      <w:r w:rsidR="00283ABA" w:rsidRPr="00595773">
        <w:rPr>
          <w:vertAlign w:val="superscript"/>
        </w:rPr>
        <w:t>st</w:t>
      </w:r>
      <w:r w:rsidR="00283ABA" w:rsidRPr="00595773">
        <w:t xml:space="preserve"> 201</w:t>
      </w:r>
      <w:r>
        <w:t>8</w:t>
      </w:r>
      <w:r w:rsidR="00283ABA" w:rsidRPr="00595773">
        <w:t xml:space="preserve"> with at least one author </w:t>
      </w:r>
      <w:r w:rsidR="008D18A8">
        <w:t>affiliated with</w:t>
      </w:r>
      <w:r>
        <w:t>in</w:t>
      </w:r>
      <w:r w:rsidR="008D18A8">
        <w:t xml:space="preserve"> a</w:t>
      </w:r>
      <w:r w:rsidR="00283ABA" w:rsidRPr="00595773">
        <w:t xml:space="preserve"> Swiss </w:t>
      </w:r>
      <w:r w:rsidR="00826B59">
        <w:t>institution</w:t>
      </w:r>
      <w:r>
        <w:t xml:space="preserve"> are retrieved</w:t>
      </w:r>
      <w:r w:rsidR="008A7BBD">
        <w:t xml:space="preserve"> through</w:t>
      </w:r>
      <w:r w:rsidR="00283ABA" w:rsidRPr="00595773">
        <w:t xml:space="preserve"> the </w:t>
      </w:r>
      <w:r w:rsidR="008D4A9A">
        <w:t xml:space="preserve">SCOAP3 </w:t>
      </w:r>
      <w:r w:rsidR="00283ABA" w:rsidRPr="00595773">
        <w:t xml:space="preserve">repository API, and </w:t>
      </w:r>
      <w:r>
        <w:t xml:space="preserve">then </w:t>
      </w:r>
      <w:r w:rsidR="00283ABA" w:rsidRPr="00595773">
        <w:t xml:space="preserve">processed </w:t>
      </w:r>
      <w:r>
        <w:t>in the following order:</w:t>
      </w:r>
    </w:p>
    <w:p w14:paraId="5EF9F3F2" w14:textId="77777777"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Each article is assigned to its authors proportionally, so that for </w:t>
      </w:r>
      <w:r w:rsidRPr="006F5286">
        <w:rPr>
          <w:rFonts w:ascii="Arial" w:hAnsi="Arial"/>
          <w:i/>
          <w:lang w:val="en-GB"/>
        </w:rPr>
        <w:t>n</w:t>
      </w:r>
      <w:r w:rsidRPr="00D322A0">
        <w:rPr>
          <w:rFonts w:ascii="Arial" w:hAnsi="Arial"/>
          <w:lang w:val="en-GB"/>
        </w:rPr>
        <w:t xml:space="preserve"> authors each of them receives a </w:t>
      </w:r>
      <w:r w:rsidRPr="006F5286">
        <w:rPr>
          <w:rFonts w:ascii="Arial" w:hAnsi="Arial"/>
          <w:i/>
          <w:lang w:val="en-GB"/>
        </w:rPr>
        <w:t>1/n</w:t>
      </w:r>
      <w:r w:rsidRPr="00D322A0">
        <w:rPr>
          <w:rFonts w:ascii="Arial" w:hAnsi="Arial"/>
          <w:lang w:val="en-GB"/>
        </w:rPr>
        <w:t xml:space="preserve"> share of the article</w:t>
      </w:r>
      <w:r w:rsidR="00D322A0">
        <w:rPr>
          <w:rFonts w:ascii="Arial" w:hAnsi="Arial"/>
          <w:lang w:val="en-GB"/>
        </w:rPr>
        <w:t xml:space="preserve">, </w:t>
      </w:r>
      <w:r w:rsidR="00EE6680">
        <w:rPr>
          <w:rFonts w:ascii="Arial" w:hAnsi="Arial"/>
          <w:lang w:val="en-GB"/>
        </w:rPr>
        <w:t>regardless</w:t>
      </w:r>
      <w:r w:rsidR="00D322A0">
        <w:rPr>
          <w:rFonts w:ascii="Arial" w:hAnsi="Arial"/>
          <w:lang w:val="en-GB"/>
        </w:rPr>
        <w:t xml:space="preserve"> of </w:t>
      </w:r>
      <w:r w:rsidR="00EE6680">
        <w:rPr>
          <w:rFonts w:ascii="Arial" w:hAnsi="Arial"/>
          <w:lang w:val="en-GB"/>
        </w:rPr>
        <w:t xml:space="preserve">the </w:t>
      </w:r>
      <w:r w:rsidR="00D322A0">
        <w:rPr>
          <w:rFonts w:ascii="Arial" w:hAnsi="Arial"/>
          <w:lang w:val="en-GB"/>
        </w:rPr>
        <w:t>affiliation</w:t>
      </w:r>
      <w:r w:rsidR="00EE6680">
        <w:rPr>
          <w:rFonts w:ascii="Arial" w:hAnsi="Arial"/>
          <w:lang w:val="en-GB"/>
        </w:rPr>
        <w:t>s</w:t>
      </w:r>
      <w:r w:rsidRPr="00D322A0">
        <w:rPr>
          <w:rFonts w:ascii="Arial" w:hAnsi="Arial"/>
          <w:lang w:val="en-GB"/>
        </w:rPr>
        <w:t>.</w:t>
      </w:r>
    </w:p>
    <w:p w14:paraId="36107B3C" w14:textId="77777777"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Each author is assigned to </w:t>
      </w:r>
      <w:r w:rsidR="009561F3" w:rsidRPr="00D322A0">
        <w:rPr>
          <w:rFonts w:ascii="Arial" w:hAnsi="Arial"/>
          <w:lang w:val="en-GB"/>
        </w:rPr>
        <w:t>his/her</w:t>
      </w:r>
      <w:r w:rsidRPr="00D322A0">
        <w:rPr>
          <w:rFonts w:ascii="Arial" w:hAnsi="Arial"/>
          <w:lang w:val="en-GB"/>
        </w:rPr>
        <w:t xml:space="preserve"> institutions proportionally, so that for </w:t>
      </w:r>
      <w:r w:rsidRPr="006F5286">
        <w:rPr>
          <w:rFonts w:ascii="Arial" w:hAnsi="Arial"/>
          <w:i/>
          <w:lang w:val="en-GB"/>
        </w:rPr>
        <w:t>k</w:t>
      </w:r>
      <w:r w:rsidRPr="00D322A0">
        <w:rPr>
          <w:rFonts w:ascii="Arial" w:hAnsi="Arial"/>
          <w:lang w:val="en-GB"/>
        </w:rPr>
        <w:t xml:space="preserve"> institutions to which an author is affiliated, each institution receives a </w:t>
      </w:r>
      <w:r w:rsidRPr="006F5286">
        <w:rPr>
          <w:rFonts w:ascii="Arial" w:hAnsi="Arial"/>
          <w:i/>
          <w:lang w:val="en-GB"/>
        </w:rPr>
        <w:t>1/k</w:t>
      </w:r>
      <w:r w:rsidRPr="00D322A0">
        <w:rPr>
          <w:rFonts w:ascii="Arial" w:hAnsi="Arial"/>
          <w:lang w:val="en-GB"/>
        </w:rPr>
        <w:t xml:space="preserve"> share of the </w:t>
      </w:r>
      <w:r w:rsidR="00D322A0" w:rsidRPr="006F5286">
        <w:rPr>
          <w:rFonts w:ascii="Arial" w:hAnsi="Arial"/>
          <w:i/>
          <w:lang w:val="en-GB"/>
        </w:rPr>
        <w:t>1/n</w:t>
      </w:r>
      <w:r w:rsidR="00D322A0">
        <w:rPr>
          <w:rFonts w:ascii="Arial" w:hAnsi="Arial"/>
          <w:lang w:val="en-GB"/>
        </w:rPr>
        <w:t xml:space="preserve"> </w:t>
      </w:r>
      <w:r w:rsidRPr="00D322A0">
        <w:rPr>
          <w:rFonts w:ascii="Arial" w:hAnsi="Arial"/>
          <w:lang w:val="en-GB"/>
        </w:rPr>
        <w:t>share of th</w:t>
      </w:r>
      <w:r w:rsidR="009561F3" w:rsidRPr="00D322A0">
        <w:rPr>
          <w:rFonts w:ascii="Arial" w:hAnsi="Arial"/>
          <w:lang w:val="en-GB"/>
        </w:rPr>
        <w:t>at</w:t>
      </w:r>
      <w:r w:rsidRPr="00D322A0">
        <w:rPr>
          <w:rFonts w:ascii="Arial" w:hAnsi="Arial"/>
          <w:lang w:val="en-GB"/>
        </w:rPr>
        <w:t xml:space="preserve"> author.</w:t>
      </w:r>
    </w:p>
    <w:p w14:paraId="31546AFD" w14:textId="77777777" w:rsidR="00283ABA" w:rsidRPr="00D322A0" w:rsidRDefault="00283ABA" w:rsidP="00B678D9">
      <w:pPr>
        <w:pStyle w:val="Paragraphedeliste"/>
        <w:numPr>
          <w:ilvl w:val="0"/>
          <w:numId w:val="2"/>
        </w:numPr>
        <w:spacing w:before="0" w:after="120"/>
        <w:ind w:left="567" w:hanging="357"/>
        <w:contextualSpacing w:val="0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 xml:space="preserve">The shares of each </w:t>
      </w:r>
      <w:r w:rsidR="00D322A0">
        <w:rPr>
          <w:rFonts w:ascii="Arial" w:hAnsi="Arial"/>
          <w:lang w:val="en-GB"/>
        </w:rPr>
        <w:t xml:space="preserve">Swiss </w:t>
      </w:r>
      <w:r w:rsidRPr="00D322A0">
        <w:rPr>
          <w:rFonts w:ascii="Arial" w:hAnsi="Arial"/>
          <w:lang w:val="en-GB"/>
        </w:rPr>
        <w:t>instit</w:t>
      </w:r>
      <w:r w:rsidR="006F78B8">
        <w:rPr>
          <w:rFonts w:ascii="Arial" w:hAnsi="Arial"/>
          <w:lang w:val="en-GB"/>
        </w:rPr>
        <w:t>ution are summed up</w:t>
      </w:r>
      <w:r w:rsidRPr="00D322A0">
        <w:rPr>
          <w:rFonts w:ascii="Arial" w:hAnsi="Arial"/>
          <w:lang w:val="en-GB"/>
        </w:rPr>
        <w:t>.</w:t>
      </w:r>
    </w:p>
    <w:p w14:paraId="0E993C9C" w14:textId="77777777" w:rsidR="00283ABA" w:rsidRDefault="00283ABA" w:rsidP="001A2463">
      <w:pPr>
        <w:pStyle w:val="Paragraphedeliste"/>
        <w:numPr>
          <w:ilvl w:val="0"/>
          <w:numId w:val="2"/>
        </w:numPr>
        <w:spacing w:before="0" w:after="240"/>
        <w:ind w:left="567"/>
        <w:rPr>
          <w:rFonts w:ascii="Arial" w:hAnsi="Arial"/>
          <w:lang w:val="en-GB"/>
        </w:rPr>
      </w:pPr>
      <w:r w:rsidRPr="00D322A0">
        <w:rPr>
          <w:rFonts w:ascii="Arial" w:hAnsi="Arial"/>
          <w:lang w:val="en-GB"/>
        </w:rPr>
        <w:t>An allocation key is calculated by dividing the share of each institution by the total sum of the shares.</w:t>
      </w:r>
    </w:p>
    <w:p w14:paraId="27B6F834" w14:textId="77777777" w:rsidR="00EE6680" w:rsidRDefault="00EE6680" w:rsidP="00EE6680">
      <w:pPr>
        <w:spacing w:before="120"/>
        <w:rPr>
          <w:sz w:val="20"/>
        </w:rPr>
      </w:pPr>
    </w:p>
    <w:p w14:paraId="315C99F7" w14:textId="77777777" w:rsidR="00283ABA" w:rsidRDefault="00240367" w:rsidP="00401F4A">
      <w:r>
        <w:rPr>
          <w:noProof/>
          <w:lang w:val="fr-CH" w:eastAsia="fr-CH"/>
        </w:rPr>
        <w:lastRenderedPageBreak/>
        <w:drawing>
          <wp:inline distT="0" distB="0" distL="0" distR="0" wp14:anchorId="056B6E3C" wp14:editId="0570B0CB">
            <wp:extent cx="5760720" cy="4072803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5F9D" w14:textId="77777777" w:rsidR="00607C79" w:rsidRPr="00607C79" w:rsidRDefault="00607C79" w:rsidP="00607C79">
      <w:pPr>
        <w:spacing w:before="120"/>
        <w:rPr>
          <w:sz w:val="20"/>
        </w:rPr>
      </w:pPr>
      <w:r>
        <w:rPr>
          <w:sz w:val="20"/>
        </w:rPr>
        <w:t>Figure</w:t>
      </w:r>
      <w:r w:rsidRPr="00607C79">
        <w:rPr>
          <w:sz w:val="20"/>
        </w:rPr>
        <w:t xml:space="preserve"> 1: Schematic overview of the methodology used to calculate the Swiss institution shares</w:t>
      </w:r>
    </w:p>
    <w:p w14:paraId="25DFDD6F" w14:textId="77777777" w:rsidR="00283ABA" w:rsidRPr="00595773" w:rsidRDefault="00060F05" w:rsidP="005776A0">
      <w:pPr>
        <w:pStyle w:val="Titre1"/>
      </w:pPr>
      <w:r>
        <w:t>Data sample</w:t>
      </w:r>
    </w:p>
    <w:p w14:paraId="183EA52C" w14:textId="77777777" w:rsidR="00DE314E" w:rsidRDefault="00283ABA" w:rsidP="005776A0">
      <w:pPr>
        <w:spacing w:before="0" w:after="240"/>
      </w:pPr>
      <w:r w:rsidRPr="00595773">
        <w:t xml:space="preserve">Out of </w:t>
      </w:r>
      <w:r w:rsidR="00833A65">
        <w:t>15’944</w:t>
      </w:r>
      <w:r w:rsidRPr="00595773">
        <w:t xml:space="preserve"> articles published </w:t>
      </w:r>
      <w:r w:rsidR="00443D1B">
        <w:t>within</w:t>
      </w:r>
      <w:r w:rsidR="00443D1B" w:rsidRPr="00595773">
        <w:t xml:space="preserve"> </w:t>
      </w:r>
      <w:r w:rsidRPr="00595773">
        <w:t>the SCOAP3 framework</w:t>
      </w:r>
      <w:r w:rsidR="00000CA2">
        <w:t xml:space="preserve"> between 201</w:t>
      </w:r>
      <w:r w:rsidR="00833A65">
        <w:t>6</w:t>
      </w:r>
      <w:r w:rsidR="00000CA2">
        <w:t xml:space="preserve"> and 201</w:t>
      </w:r>
      <w:r w:rsidR="00833A65">
        <w:t>8</w:t>
      </w:r>
      <w:r w:rsidRPr="00595773">
        <w:t xml:space="preserve">, </w:t>
      </w:r>
      <w:r w:rsidR="00833A65">
        <w:t>1324</w:t>
      </w:r>
      <w:r w:rsidR="005E3E2B">
        <w:t xml:space="preserve"> present at least one author with a Swiss affiliation</w:t>
      </w:r>
      <w:r w:rsidR="00466DB8">
        <w:t xml:space="preserve">. </w:t>
      </w:r>
      <w:bookmarkEnd w:id="0"/>
      <w:bookmarkEnd w:id="1"/>
    </w:p>
    <w:tbl>
      <w:tblPr>
        <w:tblStyle w:val="TableauGrille2-Accentuation1"/>
        <w:tblW w:w="0" w:type="auto"/>
        <w:tblInd w:w="993" w:type="dxa"/>
        <w:tblLook w:val="0420" w:firstRow="1" w:lastRow="0" w:firstColumn="0" w:lastColumn="0" w:noHBand="0" w:noVBand="1"/>
      </w:tblPr>
      <w:tblGrid>
        <w:gridCol w:w="3538"/>
        <w:gridCol w:w="1139"/>
        <w:gridCol w:w="1139"/>
      </w:tblGrid>
      <w:tr w:rsidR="005B273B" w:rsidRPr="005B273B" w14:paraId="48DFF16D" w14:textId="77777777" w:rsidTr="00B74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8" w:type="dxa"/>
            <w:vAlign w:val="bottom"/>
          </w:tcPr>
          <w:p w14:paraId="36534527" w14:textId="77777777" w:rsidR="005B273B" w:rsidRPr="00DE314E" w:rsidRDefault="005B273B" w:rsidP="005B273B">
            <w:pPr>
              <w:spacing w:before="0" w:line="240" w:lineRule="auto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Journal Title</w:t>
            </w:r>
          </w:p>
        </w:tc>
        <w:tc>
          <w:tcPr>
            <w:tcW w:w="1139" w:type="dxa"/>
            <w:vAlign w:val="bottom"/>
          </w:tcPr>
          <w:p w14:paraId="3390BD8A" w14:textId="77777777" w:rsidR="005B273B" w:rsidRPr="00DE314E" w:rsidRDefault="005B273B" w:rsidP="005B273B">
            <w:pPr>
              <w:spacing w:before="0" w:line="240" w:lineRule="auto"/>
              <w:jc w:val="left"/>
              <w:rPr>
                <w:rFonts w:ascii="Calibri" w:hAnsi="Calibri" w:cs="Calibri"/>
                <w:b w:val="0"/>
                <w:bCs w:val="0"/>
                <w:color w:val="000000"/>
                <w:szCs w:val="22"/>
                <w:lang w:val="fr-CH" w:eastAsia="fr-CH"/>
              </w:rPr>
            </w:pPr>
            <w:r w:rsidRPr="00DE314E">
              <w:rPr>
                <w:rFonts w:ascii="Calibri" w:hAnsi="Calibri" w:cs="Calibri"/>
                <w:color w:val="000000"/>
                <w:szCs w:val="22"/>
                <w:lang w:val="fr-CH" w:eastAsia="fr-CH"/>
              </w:rPr>
              <w:t># articles</w:t>
            </w:r>
          </w:p>
        </w:tc>
        <w:tc>
          <w:tcPr>
            <w:tcW w:w="1139" w:type="dxa"/>
          </w:tcPr>
          <w:p w14:paraId="52C41ED7" w14:textId="77777777" w:rsidR="005B273B" w:rsidRPr="005B273B" w:rsidRDefault="005B273B" w:rsidP="005B273B">
            <w:pPr>
              <w:spacing w:before="0" w:line="240" w:lineRule="auto"/>
              <w:jc w:val="left"/>
              <w:rPr>
                <w:rFonts w:ascii="Calibri" w:hAnsi="Calibri" w:cs="Calibri"/>
                <w:bCs w:val="0"/>
                <w:color w:val="000000"/>
                <w:szCs w:val="22"/>
                <w:lang w:val="fr-CH" w:eastAsia="fr-CH"/>
              </w:rPr>
            </w:pPr>
            <w:r w:rsidRPr="005B273B">
              <w:rPr>
                <w:rFonts w:ascii="Calibri" w:hAnsi="Calibri" w:cs="Calibri"/>
                <w:bCs w:val="0"/>
                <w:color w:val="000000"/>
                <w:szCs w:val="22"/>
                <w:lang w:val="fr-CH" w:eastAsia="fr-CH"/>
              </w:rPr>
              <w:t>Publisher</w:t>
            </w:r>
          </w:p>
        </w:tc>
      </w:tr>
      <w:tr w:rsidR="005B273B" w:rsidRPr="005B273B" w14:paraId="2286E82B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523DBBD6" w14:textId="77777777" w:rsidR="005B273B" w:rsidRPr="005B273B" w:rsidRDefault="005B273B" w:rsidP="005B273B">
            <w:pPr>
              <w:spacing w:before="0"/>
            </w:pPr>
            <w:r w:rsidRPr="005B273B">
              <w:t xml:space="preserve">Adv. High Energy Phys. </w:t>
            </w:r>
          </w:p>
        </w:tc>
        <w:tc>
          <w:tcPr>
            <w:tcW w:w="1139" w:type="dxa"/>
          </w:tcPr>
          <w:p w14:paraId="255BE765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1</w:t>
            </w:r>
          </w:p>
        </w:tc>
        <w:tc>
          <w:tcPr>
            <w:tcW w:w="1139" w:type="dxa"/>
          </w:tcPr>
          <w:p w14:paraId="51C8E1AF" w14:textId="77777777" w:rsidR="005B273B" w:rsidRPr="005B273B" w:rsidRDefault="00A873A9" w:rsidP="005B273B">
            <w:pPr>
              <w:spacing w:before="0"/>
              <w:jc w:val="right"/>
            </w:pPr>
            <w:r>
              <w:t>Hindawi</w:t>
            </w:r>
          </w:p>
        </w:tc>
      </w:tr>
      <w:tr w:rsidR="005B273B" w:rsidRPr="005B273B" w14:paraId="75A9CB35" w14:textId="77777777" w:rsidTr="00B742FF">
        <w:tc>
          <w:tcPr>
            <w:tcW w:w="3538" w:type="dxa"/>
          </w:tcPr>
          <w:p w14:paraId="2C857B2F" w14:textId="77777777" w:rsidR="005B273B" w:rsidRPr="005B273B" w:rsidRDefault="005B273B" w:rsidP="005B273B">
            <w:pPr>
              <w:spacing w:before="0"/>
            </w:pPr>
            <w:r w:rsidRPr="005B273B">
              <w:t xml:space="preserve">Chinese Physics C </w:t>
            </w:r>
          </w:p>
        </w:tc>
        <w:tc>
          <w:tcPr>
            <w:tcW w:w="1139" w:type="dxa"/>
          </w:tcPr>
          <w:p w14:paraId="17D39172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2</w:t>
            </w:r>
          </w:p>
        </w:tc>
        <w:tc>
          <w:tcPr>
            <w:tcW w:w="1139" w:type="dxa"/>
          </w:tcPr>
          <w:p w14:paraId="2A7F6DF3" w14:textId="77777777" w:rsidR="005B273B" w:rsidRPr="005B273B" w:rsidRDefault="00A873A9" w:rsidP="005B273B">
            <w:pPr>
              <w:spacing w:before="0"/>
              <w:jc w:val="right"/>
            </w:pPr>
            <w:r>
              <w:t>IOP</w:t>
            </w:r>
          </w:p>
        </w:tc>
      </w:tr>
      <w:tr w:rsidR="005B273B" w:rsidRPr="005B273B" w14:paraId="48D63EE4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0DE5987C" w14:textId="77777777" w:rsidR="005B273B" w:rsidRPr="005B273B" w:rsidRDefault="005B273B" w:rsidP="005B273B">
            <w:pPr>
              <w:spacing w:before="0"/>
            </w:pPr>
            <w:r w:rsidRPr="005B273B">
              <w:t xml:space="preserve">European Physical Journal C </w:t>
            </w:r>
          </w:p>
        </w:tc>
        <w:tc>
          <w:tcPr>
            <w:tcW w:w="1139" w:type="dxa"/>
          </w:tcPr>
          <w:p w14:paraId="3C1773A3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278</w:t>
            </w:r>
          </w:p>
        </w:tc>
        <w:tc>
          <w:tcPr>
            <w:tcW w:w="1139" w:type="dxa"/>
          </w:tcPr>
          <w:p w14:paraId="6ABBFC98" w14:textId="77777777" w:rsidR="005B273B" w:rsidRPr="005B273B" w:rsidRDefault="005E3E2B" w:rsidP="005B273B">
            <w:pPr>
              <w:spacing w:before="0"/>
              <w:jc w:val="right"/>
            </w:pPr>
            <w:r>
              <w:t>Springer</w:t>
            </w:r>
          </w:p>
        </w:tc>
      </w:tr>
      <w:tr w:rsidR="005B273B" w:rsidRPr="005B273B" w14:paraId="7E385AC3" w14:textId="77777777" w:rsidTr="00B742FF">
        <w:tc>
          <w:tcPr>
            <w:tcW w:w="3538" w:type="dxa"/>
          </w:tcPr>
          <w:p w14:paraId="5E378B57" w14:textId="77777777" w:rsidR="005B273B" w:rsidRPr="005B273B" w:rsidRDefault="005B273B" w:rsidP="005B273B">
            <w:pPr>
              <w:spacing w:before="0"/>
            </w:pPr>
            <w:r w:rsidRPr="005B273B">
              <w:t xml:space="preserve">J. Cosm. and Astroparticle P. </w:t>
            </w:r>
          </w:p>
        </w:tc>
        <w:tc>
          <w:tcPr>
            <w:tcW w:w="1139" w:type="dxa"/>
          </w:tcPr>
          <w:p w14:paraId="13E972A2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20</w:t>
            </w:r>
          </w:p>
        </w:tc>
        <w:tc>
          <w:tcPr>
            <w:tcW w:w="1139" w:type="dxa"/>
          </w:tcPr>
          <w:p w14:paraId="7DDF6526" w14:textId="77777777" w:rsidR="005B273B" w:rsidRPr="005B273B" w:rsidRDefault="00A873A9" w:rsidP="005B273B">
            <w:pPr>
              <w:spacing w:before="0"/>
              <w:jc w:val="right"/>
            </w:pPr>
            <w:r>
              <w:t>IOP</w:t>
            </w:r>
          </w:p>
        </w:tc>
      </w:tr>
      <w:tr w:rsidR="005B273B" w:rsidRPr="005B273B" w14:paraId="05E920D7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52FEE3B3" w14:textId="77777777" w:rsidR="005B273B" w:rsidRPr="005B273B" w:rsidRDefault="005B273B" w:rsidP="005B273B">
            <w:pPr>
              <w:spacing w:before="0"/>
            </w:pPr>
            <w:r w:rsidRPr="005B273B">
              <w:t xml:space="preserve">J. High Energy Phys. </w:t>
            </w:r>
          </w:p>
        </w:tc>
        <w:tc>
          <w:tcPr>
            <w:tcW w:w="1139" w:type="dxa"/>
          </w:tcPr>
          <w:p w14:paraId="1772236B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588</w:t>
            </w:r>
          </w:p>
        </w:tc>
        <w:tc>
          <w:tcPr>
            <w:tcW w:w="1139" w:type="dxa"/>
          </w:tcPr>
          <w:p w14:paraId="10C58E19" w14:textId="77777777" w:rsidR="005B273B" w:rsidRPr="005B273B" w:rsidRDefault="005E3E2B" w:rsidP="005B273B">
            <w:pPr>
              <w:spacing w:before="0"/>
              <w:jc w:val="right"/>
            </w:pPr>
            <w:r>
              <w:t>Springer</w:t>
            </w:r>
          </w:p>
        </w:tc>
      </w:tr>
      <w:tr w:rsidR="005B273B" w:rsidRPr="005B273B" w14:paraId="5AF667FF" w14:textId="77777777" w:rsidTr="00B742FF">
        <w:tc>
          <w:tcPr>
            <w:tcW w:w="3538" w:type="dxa"/>
          </w:tcPr>
          <w:p w14:paraId="5B9D7DB8" w14:textId="77777777" w:rsidR="005B273B" w:rsidRPr="005B273B" w:rsidRDefault="005B273B" w:rsidP="005B273B">
            <w:pPr>
              <w:spacing w:before="0"/>
            </w:pPr>
            <w:r w:rsidRPr="005B273B">
              <w:t xml:space="preserve">New Journal of Physics </w:t>
            </w:r>
          </w:p>
        </w:tc>
        <w:tc>
          <w:tcPr>
            <w:tcW w:w="1139" w:type="dxa"/>
          </w:tcPr>
          <w:p w14:paraId="43ECDCBA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2</w:t>
            </w:r>
          </w:p>
        </w:tc>
        <w:tc>
          <w:tcPr>
            <w:tcW w:w="1139" w:type="dxa"/>
          </w:tcPr>
          <w:p w14:paraId="70DCA016" w14:textId="77777777" w:rsidR="005B273B" w:rsidRPr="005B273B" w:rsidRDefault="00A873A9" w:rsidP="005B273B">
            <w:pPr>
              <w:spacing w:before="0"/>
              <w:jc w:val="right"/>
            </w:pPr>
            <w:r>
              <w:t>IOP</w:t>
            </w:r>
          </w:p>
        </w:tc>
      </w:tr>
      <w:tr w:rsidR="005B273B" w:rsidRPr="005B273B" w14:paraId="6867F50E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3A009327" w14:textId="77777777" w:rsidR="005B273B" w:rsidRPr="005B273B" w:rsidRDefault="005B273B" w:rsidP="005B273B">
            <w:pPr>
              <w:spacing w:before="0"/>
            </w:pPr>
            <w:r w:rsidRPr="005B273B">
              <w:t xml:space="preserve">Nuclear Physics B </w:t>
            </w:r>
          </w:p>
        </w:tc>
        <w:tc>
          <w:tcPr>
            <w:tcW w:w="1139" w:type="dxa"/>
          </w:tcPr>
          <w:p w14:paraId="431A2020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33</w:t>
            </w:r>
          </w:p>
        </w:tc>
        <w:tc>
          <w:tcPr>
            <w:tcW w:w="1139" w:type="dxa"/>
          </w:tcPr>
          <w:p w14:paraId="5C4F471C" w14:textId="77777777" w:rsidR="005B273B" w:rsidRPr="005B273B" w:rsidRDefault="00A873A9" w:rsidP="005B273B">
            <w:pPr>
              <w:spacing w:before="0"/>
              <w:jc w:val="right"/>
            </w:pPr>
            <w:r>
              <w:t>Elsevier</w:t>
            </w:r>
          </w:p>
        </w:tc>
      </w:tr>
      <w:tr w:rsidR="005B273B" w:rsidRPr="005B273B" w14:paraId="307427DB" w14:textId="77777777" w:rsidTr="00B742FF">
        <w:tc>
          <w:tcPr>
            <w:tcW w:w="3538" w:type="dxa"/>
          </w:tcPr>
          <w:p w14:paraId="77310BE6" w14:textId="77777777" w:rsidR="005B273B" w:rsidRPr="005B273B" w:rsidRDefault="005B273B" w:rsidP="005B273B">
            <w:pPr>
              <w:spacing w:before="0"/>
            </w:pPr>
            <w:r w:rsidRPr="005B273B">
              <w:t xml:space="preserve">Physical Review C </w:t>
            </w:r>
          </w:p>
        </w:tc>
        <w:tc>
          <w:tcPr>
            <w:tcW w:w="1139" w:type="dxa"/>
          </w:tcPr>
          <w:p w14:paraId="2FA27363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3</w:t>
            </w:r>
          </w:p>
        </w:tc>
        <w:tc>
          <w:tcPr>
            <w:tcW w:w="1139" w:type="dxa"/>
          </w:tcPr>
          <w:p w14:paraId="0631681F" w14:textId="77777777" w:rsidR="005B273B" w:rsidRPr="005B273B" w:rsidRDefault="005E3E2B" w:rsidP="005B273B">
            <w:pPr>
              <w:spacing w:before="0"/>
              <w:jc w:val="right"/>
            </w:pPr>
            <w:r>
              <w:t>APS</w:t>
            </w:r>
          </w:p>
        </w:tc>
      </w:tr>
      <w:tr w:rsidR="005B273B" w:rsidRPr="005B273B" w14:paraId="0C1F000F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7329D80B" w14:textId="77777777" w:rsidR="005B273B" w:rsidRPr="005B273B" w:rsidRDefault="005B273B" w:rsidP="005B273B">
            <w:pPr>
              <w:spacing w:before="0"/>
            </w:pPr>
            <w:r w:rsidRPr="005B273B">
              <w:t xml:space="preserve">Physical Review D </w:t>
            </w:r>
          </w:p>
        </w:tc>
        <w:tc>
          <w:tcPr>
            <w:tcW w:w="1139" w:type="dxa"/>
          </w:tcPr>
          <w:p w14:paraId="275215E2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117</w:t>
            </w:r>
          </w:p>
        </w:tc>
        <w:tc>
          <w:tcPr>
            <w:tcW w:w="1139" w:type="dxa"/>
          </w:tcPr>
          <w:p w14:paraId="131E4A8F" w14:textId="77777777" w:rsidR="005B273B" w:rsidRPr="005B273B" w:rsidRDefault="005E3E2B" w:rsidP="005B273B">
            <w:pPr>
              <w:spacing w:before="0"/>
              <w:jc w:val="right"/>
            </w:pPr>
            <w:r>
              <w:t>APS</w:t>
            </w:r>
          </w:p>
        </w:tc>
      </w:tr>
      <w:tr w:rsidR="005B273B" w:rsidRPr="005B273B" w14:paraId="31E11A15" w14:textId="77777777" w:rsidTr="00B742FF">
        <w:tc>
          <w:tcPr>
            <w:tcW w:w="3538" w:type="dxa"/>
          </w:tcPr>
          <w:p w14:paraId="1C51E417" w14:textId="77777777" w:rsidR="005B273B" w:rsidRPr="005B273B" w:rsidRDefault="005B273B" w:rsidP="005B273B">
            <w:pPr>
              <w:spacing w:before="0"/>
            </w:pPr>
            <w:r w:rsidRPr="005B273B">
              <w:t xml:space="preserve">Physical Review Letters </w:t>
            </w:r>
          </w:p>
        </w:tc>
        <w:tc>
          <w:tcPr>
            <w:tcW w:w="1139" w:type="dxa"/>
          </w:tcPr>
          <w:p w14:paraId="0CA81961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60</w:t>
            </w:r>
          </w:p>
        </w:tc>
        <w:tc>
          <w:tcPr>
            <w:tcW w:w="1139" w:type="dxa"/>
          </w:tcPr>
          <w:p w14:paraId="27E25B9B" w14:textId="77777777" w:rsidR="005B273B" w:rsidRPr="005B273B" w:rsidRDefault="005E3E2B" w:rsidP="005B273B">
            <w:pPr>
              <w:spacing w:before="0"/>
              <w:jc w:val="right"/>
            </w:pPr>
            <w:r>
              <w:t>APS</w:t>
            </w:r>
          </w:p>
        </w:tc>
      </w:tr>
      <w:tr w:rsidR="005B273B" w:rsidRPr="005B273B" w14:paraId="54007F12" w14:textId="77777777" w:rsidTr="00B7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8" w:type="dxa"/>
          </w:tcPr>
          <w:p w14:paraId="23B26A21" w14:textId="77777777" w:rsidR="005B273B" w:rsidRPr="005B273B" w:rsidRDefault="005B273B" w:rsidP="005B273B">
            <w:pPr>
              <w:spacing w:before="0"/>
            </w:pPr>
            <w:r w:rsidRPr="005B273B">
              <w:t xml:space="preserve">Physics Letters B </w:t>
            </w:r>
          </w:p>
        </w:tc>
        <w:tc>
          <w:tcPr>
            <w:tcW w:w="1139" w:type="dxa"/>
          </w:tcPr>
          <w:p w14:paraId="0E9E26F1" w14:textId="77777777" w:rsidR="005B273B" w:rsidRPr="005B273B" w:rsidRDefault="005B273B" w:rsidP="005B273B">
            <w:pPr>
              <w:spacing w:before="0"/>
              <w:jc w:val="right"/>
            </w:pPr>
            <w:r w:rsidRPr="005B273B">
              <w:t>216</w:t>
            </w:r>
          </w:p>
        </w:tc>
        <w:tc>
          <w:tcPr>
            <w:tcW w:w="1139" w:type="dxa"/>
          </w:tcPr>
          <w:p w14:paraId="6448B2CE" w14:textId="77777777" w:rsidR="005B273B" w:rsidRPr="005B273B" w:rsidRDefault="00A873A9" w:rsidP="005B273B">
            <w:pPr>
              <w:spacing w:before="0"/>
              <w:jc w:val="right"/>
            </w:pPr>
            <w:r>
              <w:t>Elsevier</w:t>
            </w:r>
          </w:p>
        </w:tc>
      </w:tr>
      <w:tr w:rsidR="005B273B" w14:paraId="109751CA" w14:textId="77777777" w:rsidTr="00B742FF">
        <w:tc>
          <w:tcPr>
            <w:tcW w:w="3538" w:type="dxa"/>
          </w:tcPr>
          <w:p w14:paraId="3217C782" w14:textId="77777777" w:rsidR="005B273B" w:rsidRPr="005B273B" w:rsidRDefault="005B273B" w:rsidP="005B273B">
            <w:pPr>
              <w:spacing w:before="0"/>
            </w:pPr>
            <w:r w:rsidRPr="005B273B">
              <w:t xml:space="preserve">Prog. of Theor. and Exp. Phys. </w:t>
            </w:r>
          </w:p>
        </w:tc>
        <w:tc>
          <w:tcPr>
            <w:tcW w:w="1139" w:type="dxa"/>
          </w:tcPr>
          <w:p w14:paraId="554D8444" w14:textId="77777777" w:rsidR="005B273B" w:rsidRDefault="005B273B" w:rsidP="005B273B">
            <w:pPr>
              <w:spacing w:before="0"/>
              <w:jc w:val="right"/>
            </w:pPr>
            <w:r w:rsidRPr="005B273B">
              <w:t>4</w:t>
            </w:r>
          </w:p>
        </w:tc>
        <w:tc>
          <w:tcPr>
            <w:tcW w:w="1139" w:type="dxa"/>
          </w:tcPr>
          <w:p w14:paraId="19D80DD5" w14:textId="77777777" w:rsidR="005B273B" w:rsidRPr="005B273B" w:rsidRDefault="005E3E2B" w:rsidP="005B273B">
            <w:pPr>
              <w:spacing w:before="0"/>
              <w:jc w:val="right"/>
            </w:pPr>
            <w:r>
              <w:t>OUP</w:t>
            </w:r>
          </w:p>
        </w:tc>
      </w:tr>
    </w:tbl>
    <w:p w14:paraId="182968B5" w14:textId="77777777" w:rsidR="004F4F73" w:rsidRDefault="004F4F73" w:rsidP="004F4F73">
      <w:pPr>
        <w:pStyle w:val="Titre1"/>
      </w:pPr>
      <w:r>
        <w:t>Affiliations mapping</w:t>
      </w:r>
    </w:p>
    <w:p w14:paraId="07A2B5AF" w14:textId="38058B65" w:rsidR="00984874" w:rsidRDefault="00933C26" w:rsidP="005776A0">
      <w:pPr>
        <w:spacing w:before="0" w:after="240"/>
      </w:pPr>
      <w:r>
        <w:t xml:space="preserve">In these 1324 articles, we find 1’725’563 affiliations, reduced to 658 unique Swiss </w:t>
      </w:r>
      <w:r w:rsidR="008D4A9A">
        <w:t xml:space="preserve">occurrences, which can be mapped </w:t>
      </w:r>
      <w:r>
        <w:t xml:space="preserve">to </w:t>
      </w:r>
      <w:r w:rsidR="008D4A9A">
        <w:t>9</w:t>
      </w:r>
      <w:r w:rsidR="0023326D">
        <w:t xml:space="preserve"> </w:t>
      </w:r>
      <w:r>
        <w:t>academic institutions.</w:t>
      </w:r>
    </w:p>
    <w:p w14:paraId="0820AA75" w14:textId="77777777" w:rsidR="003152CB" w:rsidRPr="00595773" w:rsidRDefault="006C52EF" w:rsidP="005776A0">
      <w:pPr>
        <w:pStyle w:val="Titre1"/>
      </w:pPr>
      <w:r>
        <w:lastRenderedPageBreak/>
        <w:t>Revised a</w:t>
      </w:r>
      <w:r w:rsidR="003152CB">
        <w:t>llocation key</w:t>
      </w:r>
      <w:r w:rsidR="00A873A9">
        <w:t xml:space="preserve"> and financial commitment</w:t>
      </w:r>
    </w:p>
    <w:p w14:paraId="6838009A" w14:textId="3F09599D" w:rsidR="00060F05" w:rsidRDefault="0023033B" w:rsidP="00CD02A7">
      <w:pPr>
        <w:spacing w:before="0" w:after="240"/>
        <w:rPr>
          <w:noProof/>
          <w:lang w:eastAsia="fr-CH"/>
        </w:rPr>
      </w:pPr>
      <w:r>
        <w:t xml:space="preserve">The </w:t>
      </w:r>
      <w:r w:rsidR="008D4A9A">
        <w:t>sum of the weight by author by institution is shown in the second column of the following table. Converted into a percentage</w:t>
      </w:r>
      <w:r w:rsidR="00CD02A7">
        <w:t xml:space="preserve"> (fourth column)</w:t>
      </w:r>
      <w:r w:rsidR="008D4A9A">
        <w:t xml:space="preserve">, we can calculate </w:t>
      </w:r>
      <w:r w:rsidR="00A873A9">
        <w:t xml:space="preserve">the amount </w:t>
      </w:r>
      <w:r w:rsidR="00CD02A7">
        <w:t xml:space="preserve">due </w:t>
      </w:r>
      <w:r w:rsidR="00A873A9">
        <w:t xml:space="preserve">to the SCOAP3 Consortium </w:t>
      </w:r>
      <w:r w:rsidR="00CD02A7">
        <w:t>by</w:t>
      </w:r>
      <w:r w:rsidR="00F0086E">
        <w:t xml:space="preserve"> </w:t>
      </w:r>
      <w:r w:rsidR="005614FF">
        <w:t>each Swiss</w:t>
      </w:r>
      <w:r w:rsidR="0056179B">
        <w:t xml:space="preserve"> </w:t>
      </w:r>
      <w:r w:rsidR="005614FF">
        <w:t>institution</w:t>
      </w:r>
      <w:r w:rsidR="003641B9">
        <w:t>.</w:t>
      </w:r>
      <w:r w:rsidR="00CD02A7">
        <w:t xml:space="preserve"> For information, the last column reminds the share calculated for the second phase (2017-2019).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22"/>
        <w:gridCol w:w="1054"/>
        <w:gridCol w:w="988"/>
        <w:gridCol w:w="2761"/>
        <w:gridCol w:w="929"/>
      </w:tblGrid>
      <w:tr w:rsidR="00CD02A7" w:rsidRPr="00933C26" w14:paraId="394E6FF9" w14:textId="1835005E" w:rsidTr="00CD02A7">
        <w:trPr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477BF354" w14:textId="77777777" w:rsidR="00CD02A7" w:rsidRPr="00933C26" w:rsidRDefault="00CD02A7" w:rsidP="00933C26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Institution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932C01E" w14:textId="77777777" w:rsidR="00CD02A7" w:rsidRPr="0023326D" w:rsidRDefault="00CD02A7" w:rsidP="00933C26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23326D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Sum of ratio authors/institutions</w:t>
            </w:r>
            <w:r w:rsidRPr="0023326D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br/>
              <w:t>2016-2018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2B01409A" w14:textId="69CD774D" w:rsidR="00CD02A7" w:rsidRPr="00933C26" w:rsidRDefault="00CD02A7" w:rsidP="00933C26">
            <w:pPr>
              <w:spacing w:before="0"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Share 2020-2022</w:t>
            </w:r>
            <w:r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br/>
            </w: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6A18179A" w14:textId="77777777" w:rsidR="00CD02A7" w:rsidRPr="00933C26" w:rsidRDefault="00CD02A7" w:rsidP="00933C26">
            <w:pPr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 xml:space="preserve"> Contribution 2020-2022 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14:paraId="445BC7C0" w14:textId="6AE24E51" w:rsidR="00CD02A7" w:rsidRPr="00CD02A7" w:rsidRDefault="00CD02A7" w:rsidP="00CD02A7">
            <w:pPr>
              <w:spacing w:before="0" w:line="240" w:lineRule="auto"/>
              <w:jc w:val="center"/>
              <w:rPr>
                <w:rFonts w:ascii="Calibri" w:hAnsi="Calibri" w:cs="Times New Roman"/>
                <w:bCs/>
                <w:color w:val="000000"/>
                <w:szCs w:val="22"/>
                <w:lang w:val="fr-CH" w:eastAsia="fr-CH"/>
              </w:rPr>
            </w:pPr>
            <w:r w:rsidRPr="00CD02A7">
              <w:rPr>
                <w:rFonts w:ascii="Calibri" w:hAnsi="Calibri" w:cs="Times New Roman"/>
                <w:bCs/>
                <w:color w:val="000000"/>
                <w:szCs w:val="22"/>
                <w:lang w:val="fr-CH" w:eastAsia="fr-CH"/>
              </w:rPr>
              <w:t>Share 2017</w:t>
            </w:r>
          </w:p>
        </w:tc>
      </w:tr>
      <w:tr w:rsidR="00CD02A7" w:rsidRPr="00933C26" w14:paraId="1D127435" w14:textId="3DE956A8" w:rsidTr="00556369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4A8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EPFL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73AE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32.78054988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B19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12.49%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FCF375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12.50%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14C691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</w:t>
            </w: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21'371.12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E4219" w14:textId="71FED3C1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12.64%</w:t>
            </w:r>
          </w:p>
        </w:tc>
      </w:tr>
      <w:tr w:rsidR="00CD02A7" w:rsidRPr="00933C26" w14:paraId="3A3821EF" w14:textId="272A9578" w:rsidTr="00556369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C53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ETHZ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7967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68.61973691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1174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26.15%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7348FD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26.16%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C3E515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44'736.31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4F503" w14:textId="580E8A06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19.29%</w:t>
            </w:r>
          </w:p>
        </w:tc>
      </w:tr>
      <w:tr w:rsidR="00CD02A7" w:rsidRPr="00933C26" w14:paraId="67DF59A6" w14:textId="64283474" w:rsidTr="00556369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65C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Lib4RI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44D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15.61775681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269B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5.95%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0F33B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5.95%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100011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10'181.92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1211A" w14:textId="40D1EC36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4.63%</w:t>
            </w:r>
          </w:p>
        </w:tc>
      </w:tr>
      <w:tr w:rsidR="00CD02A7" w:rsidRPr="00933C26" w14:paraId="1D81CF0B" w14:textId="100FCFEB" w:rsidTr="00556369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E76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UNIBA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5A0D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8.576636464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83A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3.27%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976428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3.27%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EA1704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  5'591.50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2C62" w14:textId="505F99E6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4.32%</w:t>
            </w:r>
          </w:p>
        </w:tc>
      </w:tr>
      <w:tr w:rsidR="00CD02A7" w:rsidRPr="00933C26" w14:paraId="44E67EFC" w14:textId="53BB866A" w:rsidTr="00556369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3A1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UNIBE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07AC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56.85310338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D17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21.66%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76509F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21.68%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FFA195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37'065.11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0700A" w14:textId="7E9FF4ED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23.70%</w:t>
            </w:r>
          </w:p>
        </w:tc>
      </w:tr>
      <w:tr w:rsidR="00CD02A7" w:rsidRPr="00933C26" w14:paraId="0B869FCD" w14:textId="6377202C" w:rsidTr="006774A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9AE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UNIGE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13C6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25.64426065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6B6B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9.77%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1D592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9.78%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8AF285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16'718.65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3171" w14:textId="7CE78E7E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10.79%</w:t>
            </w:r>
          </w:p>
        </w:tc>
      </w:tr>
      <w:tr w:rsidR="00CD02A7" w:rsidRPr="00933C26" w14:paraId="4EED725A" w14:textId="43E7A6C0" w:rsidTr="006774A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39E3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UZH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9F10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54.19994482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34B4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20.65%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BBC06" w14:textId="77777777" w:rsidR="00CD02A7" w:rsidRPr="00933C26" w:rsidRDefault="00CD02A7" w:rsidP="00CD02A7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20.66%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391BD4" w14:textId="77777777" w:rsidR="00CD02A7" w:rsidRPr="00933C26" w:rsidRDefault="00CD02A7" w:rsidP="00CD02A7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€                             35'335.39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E067" w14:textId="5A526E62" w:rsidR="00CD02A7" w:rsidRPr="00CD02A7" w:rsidRDefault="00CD02A7" w:rsidP="00CD02A7">
            <w:pPr>
              <w:spacing w:before="0" w:line="240" w:lineRule="auto"/>
              <w:jc w:val="right"/>
              <w:rPr>
                <w:rFonts w:asciiTheme="minorHAnsi" w:hAnsiTheme="minorHAnsi" w:cs="Times New Roman"/>
                <w:i/>
                <w:color w:val="000000"/>
                <w:szCs w:val="22"/>
                <w:lang w:val="fr-CH" w:eastAsia="fr-CH"/>
              </w:rPr>
            </w:pPr>
            <w:r w:rsidRPr="00CD02A7">
              <w:rPr>
                <w:rFonts w:asciiTheme="minorHAnsi" w:hAnsiTheme="minorHAnsi"/>
                <w:i/>
                <w:color w:val="000000"/>
                <w:sz w:val="20"/>
                <w:szCs w:val="22"/>
              </w:rPr>
              <w:t>24.51%</w:t>
            </w:r>
          </w:p>
        </w:tc>
      </w:tr>
      <w:tr w:rsidR="00CD02A7" w:rsidRPr="00933C26" w14:paraId="39EB9BC5" w14:textId="5551A24A" w:rsidTr="00CD02A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48B47A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UNIFR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404E44" w14:textId="77777777" w:rsidR="00CD02A7" w:rsidRPr="008D4A9A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</w:pPr>
            <w:r w:rsidRPr="008D4A9A"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  <w:t>0.01499373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7450A" w14:textId="77777777" w:rsidR="00CD02A7" w:rsidRPr="008D4A9A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</w:pPr>
            <w:r w:rsidRPr="008D4A9A"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  <w:t>0.01%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F095A1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A92B37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-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BC6AD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</w:p>
        </w:tc>
      </w:tr>
      <w:tr w:rsidR="00CD02A7" w:rsidRPr="00933C26" w14:paraId="1B3F4ABD" w14:textId="1F91B3DD" w:rsidTr="00CD02A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3B6A6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UNINE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2CF3A" w14:textId="77777777" w:rsidR="00CD02A7" w:rsidRPr="008D4A9A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</w:pPr>
            <w:r w:rsidRPr="008D4A9A"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  <w:t>0.112637363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14C480" w14:textId="77777777" w:rsidR="00CD02A7" w:rsidRPr="008D4A9A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</w:pPr>
            <w:r w:rsidRPr="008D4A9A">
              <w:rPr>
                <w:rFonts w:ascii="Calibri" w:hAnsi="Calibri" w:cs="Times New Roman"/>
                <w:i/>
                <w:color w:val="000000"/>
                <w:szCs w:val="22"/>
                <w:lang w:val="fr-CH" w:eastAsia="fr-CH"/>
              </w:rPr>
              <w:t>0.04%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C359EF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E1459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  <w:t xml:space="preserve"> -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DF708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color w:val="000000"/>
                <w:szCs w:val="22"/>
                <w:lang w:val="fr-CH" w:eastAsia="fr-CH"/>
              </w:rPr>
            </w:pPr>
          </w:p>
        </w:tc>
      </w:tr>
      <w:tr w:rsidR="00CD02A7" w:rsidRPr="00933C26" w14:paraId="6E720B20" w14:textId="33EACE44" w:rsidTr="00CD02A7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F52C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>Total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81E2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>262.41962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A055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>100.00%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9F90" w14:textId="77777777" w:rsidR="00CD02A7" w:rsidRPr="00933C26" w:rsidRDefault="00CD02A7" w:rsidP="00933C26">
            <w:pPr>
              <w:spacing w:before="0" w:line="240" w:lineRule="auto"/>
              <w:jc w:val="righ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>100.00%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D6C4A7A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  <w:r w:rsidRPr="00933C26"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  <w:t xml:space="preserve"> €                          171'000.00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7D0CE" w14:textId="77777777" w:rsidR="00CD02A7" w:rsidRPr="00933C26" w:rsidRDefault="00CD02A7" w:rsidP="00933C26">
            <w:pPr>
              <w:spacing w:before="0" w:line="240" w:lineRule="auto"/>
              <w:jc w:val="left"/>
              <w:rPr>
                <w:rFonts w:ascii="Calibri" w:hAnsi="Calibri" w:cs="Times New Roman"/>
                <w:b/>
                <w:bCs/>
                <w:color w:val="000000"/>
                <w:szCs w:val="22"/>
                <w:lang w:val="fr-CH" w:eastAsia="fr-CH"/>
              </w:rPr>
            </w:pPr>
          </w:p>
        </w:tc>
      </w:tr>
    </w:tbl>
    <w:p w14:paraId="2821BE8A" w14:textId="77777777" w:rsidR="00933C26" w:rsidRDefault="00933C26" w:rsidP="00060F05">
      <w:pPr>
        <w:spacing w:before="0" w:after="240"/>
        <w:jc w:val="left"/>
      </w:pPr>
    </w:p>
    <w:p w14:paraId="05379AA2" w14:textId="19E7A1E3" w:rsidR="00CD02A7" w:rsidRPr="00595773" w:rsidRDefault="00CD02A7" w:rsidP="00CD02A7">
      <w:pPr>
        <w:pStyle w:val="Titre1"/>
      </w:pPr>
      <w:r>
        <w:t>Jupyter Notebook</w:t>
      </w:r>
    </w:p>
    <w:p w14:paraId="4FAEF59F" w14:textId="22ED033A" w:rsidR="00237E18" w:rsidRDefault="00CD02A7" w:rsidP="00CD02A7">
      <w:pPr>
        <w:spacing w:before="0" w:after="240"/>
      </w:pPr>
      <w:r>
        <w:t>All the process</w:t>
      </w:r>
      <w:r w:rsidR="003D24B0">
        <w:t>es</w:t>
      </w:r>
      <w:r>
        <w:t xml:space="preserve"> (download of records via the API, search for the Swiss authors, pondering of affiliations, final summing) is </w:t>
      </w:r>
      <w:r w:rsidR="003D24B0">
        <w:t>executed</w:t>
      </w:r>
      <w:r>
        <w:t xml:space="preserve"> </w:t>
      </w:r>
      <w:r w:rsidR="003D24B0">
        <w:t xml:space="preserve">by a single Python script </w:t>
      </w:r>
      <w:r w:rsidR="00237E18">
        <w:t xml:space="preserve">created </w:t>
      </w:r>
      <w:r w:rsidR="003D24B0">
        <w:t xml:space="preserve">as </w:t>
      </w:r>
      <w:r w:rsidR="00237E18">
        <w:t>a Jupyter Notebook</w:t>
      </w:r>
      <w:r w:rsidR="0023326D" w:rsidRPr="003D24B0">
        <w:rPr>
          <w:vertAlign w:val="superscript"/>
        </w:rPr>
        <w:footnoteReference w:id="1"/>
      </w:r>
      <w:r w:rsidR="00237E18">
        <w:t xml:space="preserve"> that </w:t>
      </w:r>
      <w:r w:rsidR="00894D5D">
        <w:t>is available</w:t>
      </w:r>
      <w:r w:rsidR="00CA5C53">
        <w:rPr>
          <w:rStyle w:val="Appelnotedebasdep"/>
        </w:rPr>
        <w:footnoteReference w:id="2"/>
      </w:r>
      <w:r w:rsidR="00894D5D">
        <w:t xml:space="preserve"> </w:t>
      </w:r>
      <w:r w:rsidR="003D24B0">
        <w:t>for</w:t>
      </w:r>
      <w:r w:rsidR="00894D5D">
        <w:t xml:space="preserve"> </w:t>
      </w:r>
      <w:r w:rsidR="003D24B0">
        <w:t xml:space="preserve">check and </w:t>
      </w:r>
      <w:r w:rsidR="0023326D">
        <w:t>reuse</w:t>
      </w:r>
      <w:r w:rsidR="003D24B0">
        <w:t xml:space="preserve">. As the data are also open, </w:t>
      </w:r>
      <w:r w:rsidR="00894D5D">
        <w:t>everybody can verify the correctness of our analysis and outputs.</w:t>
      </w:r>
    </w:p>
    <w:p w14:paraId="5621B16F" w14:textId="268DCB34" w:rsidR="003D24B0" w:rsidRPr="00595773" w:rsidRDefault="003D24B0" w:rsidP="003D24B0">
      <w:pPr>
        <w:pStyle w:val="Titre1"/>
      </w:pPr>
      <w:r>
        <w:t>Time frame for the next allocation</w:t>
      </w:r>
    </w:p>
    <w:p w14:paraId="1FF0639E" w14:textId="5F8B5FA2" w:rsidR="003D24B0" w:rsidRDefault="003D24B0" w:rsidP="00CD02A7">
      <w:pPr>
        <w:spacing w:before="0" w:after="240"/>
      </w:pPr>
      <w:r>
        <w:t xml:space="preserve">By the virtue of this script, we can now calculate new figures </w:t>
      </w:r>
      <w:r>
        <w:t xml:space="preserve">seamlessly </w:t>
      </w:r>
      <w:r>
        <w:t>every year if wanted. Is it preferable to do so, or to stick with a three years evaluation and commitment?</w:t>
      </w:r>
    </w:p>
    <w:p w14:paraId="70CE4B52" w14:textId="169FBB91" w:rsidR="00A8638C" w:rsidRDefault="00A873A9" w:rsidP="00CD02A7">
      <w:pPr>
        <w:pStyle w:val="Titre1"/>
      </w:pPr>
      <w:r>
        <w:t>Conclusion</w:t>
      </w:r>
    </w:p>
    <w:p w14:paraId="352C7403" w14:textId="421E2F83" w:rsidR="00144654" w:rsidRPr="00A8638C" w:rsidRDefault="00957CA2" w:rsidP="00CD02A7">
      <w:pPr>
        <w:spacing w:before="0" w:after="240"/>
      </w:pPr>
      <w:r>
        <w:t>T</w:t>
      </w:r>
      <w:r w:rsidR="00A8638C">
        <w:t>he overall</w:t>
      </w:r>
      <w:r>
        <w:t xml:space="preserve"> </w:t>
      </w:r>
      <w:r w:rsidR="00A8638C">
        <w:t xml:space="preserve">increase of the SCOAP3 budget over six years (2014 -&gt; 2019) </w:t>
      </w:r>
      <w:r w:rsidR="00A873A9">
        <w:t>was</w:t>
      </w:r>
      <w:r w:rsidR="00A8638C">
        <w:t xml:space="preserve"> only 2% thanks to hard negotiations with publishers and f</w:t>
      </w:r>
      <w:r w:rsidR="00A873A9">
        <w:t>ixed prices</w:t>
      </w:r>
      <w:r w:rsidR="003D24B0">
        <w:t xml:space="preserve">. For the near future, the increase will even by lower, with a tiny </w:t>
      </w:r>
      <w:r w:rsidR="00A873A9">
        <w:t>0.5% over the next three years for Switzerland</w:t>
      </w:r>
      <w:r w:rsidR="003D24B0">
        <w:t xml:space="preserve"> (not 0.5% by year!)</w:t>
      </w:r>
      <w:r>
        <w:t>.</w:t>
      </w:r>
      <w:r w:rsidR="00A873A9">
        <w:t xml:space="preserve"> </w:t>
      </w:r>
      <w:r w:rsidR="00CC2AA1">
        <w:t xml:space="preserve">This </w:t>
      </w:r>
      <w:r w:rsidR="00A873A9">
        <w:t xml:space="preserve">only </w:t>
      </w:r>
      <w:r w:rsidR="00CC2AA1">
        <w:t>number shows</w:t>
      </w:r>
      <w:bookmarkStart w:id="2" w:name="_GoBack"/>
      <w:bookmarkEnd w:id="2"/>
      <w:r w:rsidR="00CC2AA1">
        <w:t xml:space="preserve"> the great success of SCOAP3</w:t>
      </w:r>
      <w:r w:rsidR="00A873A9">
        <w:t>.</w:t>
      </w:r>
    </w:p>
    <w:sectPr w:rsidR="00144654" w:rsidRPr="00A8638C" w:rsidSect="00607C79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7" w:bottom="1417" w:left="1417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9AA5" w14:textId="77777777" w:rsidR="00201BE2" w:rsidRDefault="00201BE2" w:rsidP="00401F4A">
      <w:r>
        <w:separator/>
      </w:r>
    </w:p>
  </w:endnote>
  <w:endnote w:type="continuationSeparator" w:id="0">
    <w:p w14:paraId="6614C211" w14:textId="77777777" w:rsidR="00201BE2" w:rsidRDefault="00201BE2" w:rsidP="0040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24FDA" w14:textId="2F848048" w:rsidR="006D40BD" w:rsidRPr="00401F4A" w:rsidRDefault="007665A7" w:rsidP="004E0B3D">
    <w:pPr>
      <w:pStyle w:val="En-tte"/>
      <w:spacing w:before="0"/>
      <w:rPr>
        <w:lang w:val="fr-CH"/>
      </w:rPr>
    </w:pPr>
    <w:r w:rsidRPr="00401F4A">
      <w:rPr>
        <w:lang w:val="fr-CH"/>
      </w:rPr>
      <w:t>Bibliothèque de l’Université de Genève</w:t>
    </w:r>
    <w:r w:rsidR="006D40BD" w:rsidRPr="00401F4A">
      <w:rPr>
        <w:lang w:val="fr-CH"/>
      </w:rPr>
      <w:tab/>
    </w:r>
    <w:r w:rsidR="006D40BD" w:rsidRPr="00401F4A">
      <w:rPr>
        <w:lang w:val="fr-CH"/>
      </w:rPr>
      <w:tab/>
    </w:r>
    <w:r w:rsidR="006D40BD" w:rsidRPr="00B348AB">
      <w:fldChar w:fldCharType="begin"/>
    </w:r>
    <w:r w:rsidR="006D40BD" w:rsidRPr="00401F4A">
      <w:rPr>
        <w:lang w:val="fr-CH"/>
      </w:rPr>
      <w:instrText>PAGE   \* MERGEFORMAT</w:instrText>
    </w:r>
    <w:r w:rsidR="006D40BD" w:rsidRPr="00B348AB">
      <w:fldChar w:fldCharType="separate"/>
    </w:r>
    <w:r w:rsidR="00CA5C53">
      <w:rPr>
        <w:noProof/>
        <w:lang w:val="fr-CH"/>
      </w:rPr>
      <w:t>3</w:t>
    </w:r>
    <w:r w:rsidR="006D40BD" w:rsidRPr="00B348AB">
      <w:fldChar w:fldCharType="end"/>
    </w:r>
  </w:p>
  <w:p w14:paraId="5E5E33B0" w14:textId="77777777" w:rsidR="006D40BD" w:rsidRPr="006D40BD" w:rsidRDefault="00D365E1" w:rsidP="004E0B3D">
    <w:pPr>
      <w:pStyle w:val="En-tte"/>
      <w:spacing w:before="0"/>
    </w:pPr>
    <w:r>
      <w:t>Jean-Blaise Claivaz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E1CA" w14:textId="787FF3F8" w:rsidR="004C22B2" w:rsidRPr="00D322A0" w:rsidRDefault="007665A7" w:rsidP="004E0B3D">
    <w:pPr>
      <w:pStyle w:val="En-tte"/>
      <w:spacing w:before="0"/>
      <w:rPr>
        <w:lang w:val="fr-CH"/>
      </w:rPr>
    </w:pPr>
    <w:r w:rsidRPr="00D322A0">
      <w:rPr>
        <w:lang w:val="fr-CH"/>
      </w:rPr>
      <w:t>Bibliothèque de l’Université de Genève</w:t>
    </w:r>
    <w:r w:rsidR="003C5685">
      <w:rPr>
        <w:lang w:val="fr-CH"/>
      </w:rPr>
      <w:t xml:space="preserve"> / October 8, 2019</w:t>
    </w:r>
    <w:r w:rsidR="00B348AB" w:rsidRPr="00D322A0">
      <w:rPr>
        <w:lang w:val="fr-CH"/>
      </w:rPr>
      <w:tab/>
    </w:r>
    <w:r w:rsidR="00B348AB" w:rsidRPr="00D322A0">
      <w:rPr>
        <w:lang w:val="fr-CH"/>
      </w:rPr>
      <w:tab/>
    </w:r>
    <w:r w:rsidR="00B348AB" w:rsidRPr="00B348AB">
      <w:fldChar w:fldCharType="begin"/>
    </w:r>
    <w:r w:rsidR="00B348AB" w:rsidRPr="00D322A0">
      <w:rPr>
        <w:lang w:val="fr-CH"/>
      </w:rPr>
      <w:instrText>PAGE   \* MERGEFORMAT</w:instrText>
    </w:r>
    <w:r w:rsidR="00B348AB" w:rsidRPr="00B348AB">
      <w:fldChar w:fldCharType="separate"/>
    </w:r>
    <w:r w:rsidR="00CA5C53">
      <w:rPr>
        <w:noProof/>
        <w:lang w:val="fr-CH"/>
      </w:rPr>
      <w:t>1</w:t>
    </w:r>
    <w:r w:rsidR="00B348AB" w:rsidRPr="00B348AB">
      <w:fldChar w:fldCharType="end"/>
    </w:r>
  </w:p>
  <w:p w14:paraId="63B50881" w14:textId="77777777" w:rsidR="00B348AB" w:rsidRPr="00B348AB" w:rsidRDefault="00283ABA" w:rsidP="004E0B3D">
    <w:pPr>
      <w:pStyle w:val="En-tte"/>
      <w:spacing w:before="0"/>
    </w:pPr>
    <w:r>
      <w:t>Jean-Blaise Claivaz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D1FA" w14:textId="77777777" w:rsidR="00201BE2" w:rsidRDefault="00201BE2" w:rsidP="00401F4A">
      <w:r>
        <w:separator/>
      </w:r>
    </w:p>
  </w:footnote>
  <w:footnote w:type="continuationSeparator" w:id="0">
    <w:p w14:paraId="33908110" w14:textId="77777777" w:rsidR="00201BE2" w:rsidRDefault="00201BE2" w:rsidP="00401F4A">
      <w:r>
        <w:continuationSeparator/>
      </w:r>
    </w:p>
  </w:footnote>
  <w:footnote w:id="1">
    <w:p w14:paraId="5699D638" w14:textId="77777777" w:rsidR="0023326D" w:rsidRPr="0023326D" w:rsidRDefault="0023326D" w:rsidP="00CA5C53">
      <w:pPr>
        <w:pStyle w:val="Notedebasdepage"/>
        <w:spacing w:before="0"/>
      </w:pPr>
      <w:r>
        <w:rPr>
          <w:rStyle w:val="Appelnotedebasdep"/>
        </w:rPr>
        <w:footnoteRef/>
      </w:r>
      <w:r>
        <w:t xml:space="preserve"> Open source software based on IPython: </w:t>
      </w:r>
      <w:r w:rsidRPr="0023326D">
        <w:t>https://jupyter.org/</w:t>
      </w:r>
    </w:p>
  </w:footnote>
  <w:footnote w:id="2">
    <w:p w14:paraId="79A18270" w14:textId="19633F61" w:rsidR="00CA5C53" w:rsidRPr="00CA5C53" w:rsidRDefault="00CA5C53" w:rsidP="00CA5C53">
      <w:pPr>
        <w:pStyle w:val="Notedebasdepage"/>
        <w:spacing w:before="0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8B35ED">
          <w:rPr>
            <w:rStyle w:val="Lienhypertexte"/>
          </w:rPr>
          <w:t>https://www.unige.ch/biblio/index.php?cID=1859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3347" w14:textId="77777777" w:rsidR="003041FC" w:rsidRDefault="00283ABA" w:rsidP="00401F4A">
    <w:pPr>
      <w:pStyle w:val="En-tte"/>
      <w:rPr>
        <w:sz w:val="22"/>
        <w:szCs w:val="22"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1" locked="0" layoutInCell="1" allowOverlap="1" wp14:anchorId="3D770C55" wp14:editId="1B20DBB8">
          <wp:simplePos x="0" y="0"/>
          <wp:positionH relativeFrom="column">
            <wp:posOffset>-1905</wp:posOffset>
          </wp:positionH>
          <wp:positionV relativeFrom="paragraph">
            <wp:posOffset>-182880</wp:posOffset>
          </wp:positionV>
          <wp:extent cx="1781175" cy="898525"/>
          <wp:effectExtent l="0" t="0" r="9525" b="0"/>
          <wp:wrapThrough wrapText="bothSides">
            <wp:wrapPolygon edited="0">
              <wp:start x="0" y="0"/>
              <wp:lineTo x="0" y="21066"/>
              <wp:lineTo x="21484" y="21066"/>
              <wp:lineTo x="21484" y="0"/>
              <wp:lineTo x="0" y="0"/>
            </wp:wrapPolygon>
          </wp:wrapThrough>
          <wp:docPr id="7" name="Image 7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0108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B4993"/>
    <w:multiLevelType w:val="hybridMultilevel"/>
    <w:tmpl w:val="A23431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F5CB4"/>
    <w:multiLevelType w:val="hybridMultilevel"/>
    <w:tmpl w:val="7FD234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0F1B"/>
    <w:multiLevelType w:val="hybridMultilevel"/>
    <w:tmpl w:val="97BA60F4"/>
    <w:lvl w:ilvl="0" w:tplc="F7528B18">
      <w:start w:val="1"/>
      <w:numFmt w:val="decimal"/>
      <w:lvlText w:val="%1)"/>
      <w:lvlJc w:val="left"/>
      <w:pPr>
        <w:ind w:left="34" w:hanging="360"/>
      </w:pPr>
      <w:rPr>
        <w:rFonts w:ascii="Arial" w:hAnsi="Arial" w:cs="Arial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754" w:hanging="360"/>
      </w:pPr>
    </w:lvl>
    <w:lvl w:ilvl="2" w:tplc="100C001B" w:tentative="1">
      <w:start w:val="1"/>
      <w:numFmt w:val="lowerRoman"/>
      <w:lvlText w:val="%3."/>
      <w:lvlJc w:val="right"/>
      <w:pPr>
        <w:ind w:left="1474" w:hanging="180"/>
      </w:pPr>
    </w:lvl>
    <w:lvl w:ilvl="3" w:tplc="100C000F" w:tentative="1">
      <w:start w:val="1"/>
      <w:numFmt w:val="decimal"/>
      <w:lvlText w:val="%4."/>
      <w:lvlJc w:val="left"/>
      <w:pPr>
        <w:ind w:left="2194" w:hanging="360"/>
      </w:pPr>
    </w:lvl>
    <w:lvl w:ilvl="4" w:tplc="100C0019" w:tentative="1">
      <w:start w:val="1"/>
      <w:numFmt w:val="lowerLetter"/>
      <w:lvlText w:val="%5."/>
      <w:lvlJc w:val="left"/>
      <w:pPr>
        <w:ind w:left="2914" w:hanging="360"/>
      </w:pPr>
    </w:lvl>
    <w:lvl w:ilvl="5" w:tplc="100C001B" w:tentative="1">
      <w:start w:val="1"/>
      <w:numFmt w:val="lowerRoman"/>
      <w:lvlText w:val="%6."/>
      <w:lvlJc w:val="right"/>
      <w:pPr>
        <w:ind w:left="3634" w:hanging="180"/>
      </w:pPr>
    </w:lvl>
    <w:lvl w:ilvl="6" w:tplc="100C000F" w:tentative="1">
      <w:start w:val="1"/>
      <w:numFmt w:val="decimal"/>
      <w:lvlText w:val="%7."/>
      <w:lvlJc w:val="left"/>
      <w:pPr>
        <w:ind w:left="4354" w:hanging="360"/>
      </w:pPr>
    </w:lvl>
    <w:lvl w:ilvl="7" w:tplc="100C0019" w:tentative="1">
      <w:start w:val="1"/>
      <w:numFmt w:val="lowerLetter"/>
      <w:lvlText w:val="%8."/>
      <w:lvlJc w:val="left"/>
      <w:pPr>
        <w:ind w:left="5074" w:hanging="360"/>
      </w:pPr>
    </w:lvl>
    <w:lvl w:ilvl="8" w:tplc="100C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4" w15:restartNumberingAfterBreak="0">
    <w:nsid w:val="74426467"/>
    <w:multiLevelType w:val="hybridMultilevel"/>
    <w:tmpl w:val="E3360CCE"/>
    <w:lvl w:ilvl="0" w:tplc="100C0011">
      <w:start w:val="1"/>
      <w:numFmt w:val="decimal"/>
      <w:lvlText w:val="%1)"/>
      <w:lvlJc w:val="left"/>
      <w:pPr>
        <w:ind w:left="3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54" w:hanging="360"/>
      </w:pPr>
    </w:lvl>
    <w:lvl w:ilvl="2" w:tplc="100C001B" w:tentative="1">
      <w:start w:val="1"/>
      <w:numFmt w:val="lowerRoman"/>
      <w:lvlText w:val="%3."/>
      <w:lvlJc w:val="right"/>
      <w:pPr>
        <w:ind w:left="1474" w:hanging="180"/>
      </w:pPr>
    </w:lvl>
    <w:lvl w:ilvl="3" w:tplc="100C000F" w:tentative="1">
      <w:start w:val="1"/>
      <w:numFmt w:val="decimal"/>
      <w:lvlText w:val="%4."/>
      <w:lvlJc w:val="left"/>
      <w:pPr>
        <w:ind w:left="2194" w:hanging="360"/>
      </w:pPr>
    </w:lvl>
    <w:lvl w:ilvl="4" w:tplc="100C0019" w:tentative="1">
      <w:start w:val="1"/>
      <w:numFmt w:val="lowerLetter"/>
      <w:lvlText w:val="%5."/>
      <w:lvlJc w:val="left"/>
      <w:pPr>
        <w:ind w:left="2914" w:hanging="360"/>
      </w:pPr>
    </w:lvl>
    <w:lvl w:ilvl="5" w:tplc="100C001B" w:tentative="1">
      <w:start w:val="1"/>
      <w:numFmt w:val="lowerRoman"/>
      <w:lvlText w:val="%6."/>
      <w:lvlJc w:val="right"/>
      <w:pPr>
        <w:ind w:left="3634" w:hanging="180"/>
      </w:pPr>
    </w:lvl>
    <w:lvl w:ilvl="6" w:tplc="100C000F" w:tentative="1">
      <w:start w:val="1"/>
      <w:numFmt w:val="decimal"/>
      <w:lvlText w:val="%7."/>
      <w:lvlJc w:val="left"/>
      <w:pPr>
        <w:ind w:left="4354" w:hanging="360"/>
      </w:pPr>
    </w:lvl>
    <w:lvl w:ilvl="7" w:tplc="100C0019" w:tentative="1">
      <w:start w:val="1"/>
      <w:numFmt w:val="lowerLetter"/>
      <w:lvlText w:val="%8."/>
      <w:lvlJc w:val="left"/>
      <w:pPr>
        <w:ind w:left="5074" w:hanging="360"/>
      </w:pPr>
    </w:lvl>
    <w:lvl w:ilvl="8" w:tplc="100C001B" w:tentative="1">
      <w:start w:val="1"/>
      <w:numFmt w:val="lowerRoman"/>
      <w:lvlText w:val="%9."/>
      <w:lvlJc w:val="right"/>
      <w:pPr>
        <w:ind w:left="579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E"/>
    <w:rsid w:val="00000CA2"/>
    <w:rsid w:val="00012921"/>
    <w:rsid w:val="00026249"/>
    <w:rsid w:val="00026BC7"/>
    <w:rsid w:val="000270A6"/>
    <w:rsid w:val="00030798"/>
    <w:rsid w:val="00056825"/>
    <w:rsid w:val="00060F05"/>
    <w:rsid w:val="000615F1"/>
    <w:rsid w:val="0007514C"/>
    <w:rsid w:val="00084D3C"/>
    <w:rsid w:val="0008744A"/>
    <w:rsid w:val="00090F20"/>
    <w:rsid w:val="00091621"/>
    <w:rsid w:val="000C7A0A"/>
    <w:rsid w:val="000D2619"/>
    <w:rsid w:val="000E718C"/>
    <w:rsid w:val="00103D9C"/>
    <w:rsid w:val="00116139"/>
    <w:rsid w:val="001275B9"/>
    <w:rsid w:val="001420F9"/>
    <w:rsid w:val="00143017"/>
    <w:rsid w:val="00144654"/>
    <w:rsid w:val="00177E12"/>
    <w:rsid w:val="001908E5"/>
    <w:rsid w:val="001A1614"/>
    <w:rsid w:val="001A2463"/>
    <w:rsid w:val="001C7905"/>
    <w:rsid w:val="001F1482"/>
    <w:rsid w:val="001F763A"/>
    <w:rsid w:val="00201BE2"/>
    <w:rsid w:val="00216B8F"/>
    <w:rsid w:val="00217461"/>
    <w:rsid w:val="0023033B"/>
    <w:rsid w:val="0023326D"/>
    <w:rsid w:val="00237E18"/>
    <w:rsid w:val="00240367"/>
    <w:rsid w:val="002423DE"/>
    <w:rsid w:val="00262D92"/>
    <w:rsid w:val="00263EB6"/>
    <w:rsid w:val="00281839"/>
    <w:rsid w:val="00283ABA"/>
    <w:rsid w:val="00284454"/>
    <w:rsid w:val="00297730"/>
    <w:rsid w:val="002A4DB0"/>
    <w:rsid w:val="002A7C68"/>
    <w:rsid w:val="002B0482"/>
    <w:rsid w:val="002B2988"/>
    <w:rsid w:val="002C727D"/>
    <w:rsid w:val="002D1D2B"/>
    <w:rsid w:val="002D278C"/>
    <w:rsid w:val="002E0C97"/>
    <w:rsid w:val="002E43E0"/>
    <w:rsid w:val="002F0D62"/>
    <w:rsid w:val="0030122B"/>
    <w:rsid w:val="00303C31"/>
    <w:rsid w:val="003041FC"/>
    <w:rsid w:val="00313879"/>
    <w:rsid w:val="003152CB"/>
    <w:rsid w:val="00325538"/>
    <w:rsid w:val="00331377"/>
    <w:rsid w:val="00331CB0"/>
    <w:rsid w:val="00342FCC"/>
    <w:rsid w:val="003641B9"/>
    <w:rsid w:val="0037217D"/>
    <w:rsid w:val="00376B06"/>
    <w:rsid w:val="003821D1"/>
    <w:rsid w:val="003B4D7E"/>
    <w:rsid w:val="003C5685"/>
    <w:rsid w:val="003D24B0"/>
    <w:rsid w:val="003D334F"/>
    <w:rsid w:val="003F179E"/>
    <w:rsid w:val="00401F4A"/>
    <w:rsid w:val="00414CCC"/>
    <w:rsid w:val="00425F3E"/>
    <w:rsid w:val="00426BB5"/>
    <w:rsid w:val="00441DA9"/>
    <w:rsid w:val="00443D1B"/>
    <w:rsid w:val="00446C84"/>
    <w:rsid w:val="00451BCA"/>
    <w:rsid w:val="00452603"/>
    <w:rsid w:val="004566CC"/>
    <w:rsid w:val="00460208"/>
    <w:rsid w:val="00466DB8"/>
    <w:rsid w:val="00470240"/>
    <w:rsid w:val="0047459F"/>
    <w:rsid w:val="00481579"/>
    <w:rsid w:val="00492361"/>
    <w:rsid w:val="00492E81"/>
    <w:rsid w:val="00496034"/>
    <w:rsid w:val="004C22B2"/>
    <w:rsid w:val="004C57FC"/>
    <w:rsid w:val="004E0B3D"/>
    <w:rsid w:val="004F4F73"/>
    <w:rsid w:val="00514118"/>
    <w:rsid w:val="00524442"/>
    <w:rsid w:val="005262D9"/>
    <w:rsid w:val="00546126"/>
    <w:rsid w:val="00554D71"/>
    <w:rsid w:val="005614FF"/>
    <w:rsid w:val="0056179B"/>
    <w:rsid w:val="00576238"/>
    <w:rsid w:val="005776A0"/>
    <w:rsid w:val="005803AA"/>
    <w:rsid w:val="005814D9"/>
    <w:rsid w:val="00583304"/>
    <w:rsid w:val="00595773"/>
    <w:rsid w:val="005A07F4"/>
    <w:rsid w:val="005B273B"/>
    <w:rsid w:val="005B5C07"/>
    <w:rsid w:val="005C33E9"/>
    <w:rsid w:val="005C5B85"/>
    <w:rsid w:val="005D3B92"/>
    <w:rsid w:val="005D479A"/>
    <w:rsid w:val="005E3E2B"/>
    <w:rsid w:val="005F44BF"/>
    <w:rsid w:val="005F6395"/>
    <w:rsid w:val="006040D9"/>
    <w:rsid w:val="00607C79"/>
    <w:rsid w:val="00614774"/>
    <w:rsid w:val="00656D67"/>
    <w:rsid w:val="00677C87"/>
    <w:rsid w:val="006837D8"/>
    <w:rsid w:val="0068569A"/>
    <w:rsid w:val="0069073D"/>
    <w:rsid w:val="006B34F8"/>
    <w:rsid w:val="006C52EF"/>
    <w:rsid w:val="006D40BD"/>
    <w:rsid w:val="006E62CD"/>
    <w:rsid w:val="006F08E5"/>
    <w:rsid w:val="006F5286"/>
    <w:rsid w:val="006F628F"/>
    <w:rsid w:val="006F78B8"/>
    <w:rsid w:val="0070615D"/>
    <w:rsid w:val="00731261"/>
    <w:rsid w:val="007358B4"/>
    <w:rsid w:val="00750B23"/>
    <w:rsid w:val="00753D7A"/>
    <w:rsid w:val="007665A7"/>
    <w:rsid w:val="00777AFB"/>
    <w:rsid w:val="007820B1"/>
    <w:rsid w:val="007901E3"/>
    <w:rsid w:val="0079030D"/>
    <w:rsid w:val="007D15D5"/>
    <w:rsid w:val="007E5DB0"/>
    <w:rsid w:val="007F45D4"/>
    <w:rsid w:val="00800EE4"/>
    <w:rsid w:val="008115A9"/>
    <w:rsid w:val="00811E83"/>
    <w:rsid w:val="0082238C"/>
    <w:rsid w:val="00822CB4"/>
    <w:rsid w:val="00823A63"/>
    <w:rsid w:val="00826B59"/>
    <w:rsid w:val="00831F7D"/>
    <w:rsid w:val="00833A65"/>
    <w:rsid w:val="0085162C"/>
    <w:rsid w:val="008559E0"/>
    <w:rsid w:val="00866432"/>
    <w:rsid w:val="00874DA5"/>
    <w:rsid w:val="00894D5D"/>
    <w:rsid w:val="008A6DED"/>
    <w:rsid w:val="008A7BBD"/>
    <w:rsid w:val="008B1B6B"/>
    <w:rsid w:val="008C45E7"/>
    <w:rsid w:val="008D031A"/>
    <w:rsid w:val="008D18A8"/>
    <w:rsid w:val="008D269E"/>
    <w:rsid w:val="008D27F6"/>
    <w:rsid w:val="008D4A9A"/>
    <w:rsid w:val="008E5743"/>
    <w:rsid w:val="008E6E64"/>
    <w:rsid w:val="008F547A"/>
    <w:rsid w:val="008F6383"/>
    <w:rsid w:val="009275BA"/>
    <w:rsid w:val="00933C26"/>
    <w:rsid w:val="009561F3"/>
    <w:rsid w:val="00957CA2"/>
    <w:rsid w:val="00972B08"/>
    <w:rsid w:val="00976DD1"/>
    <w:rsid w:val="009825CA"/>
    <w:rsid w:val="00984874"/>
    <w:rsid w:val="00985DB3"/>
    <w:rsid w:val="00985E78"/>
    <w:rsid w:val="009933AF"/>
    <w:rsid w:val="009A5BFB"/>
    <w:rsid w:val="009B036C"/>
    <w:rsid w:val="009D40C8"/>
    <w:rsid w:val="009E3F41"/>
    <w:rsid w:val="009F676C"/>
    <w:rsid w:val="00A043BC"/>
    <w:rsid w:val="00A10DB0"/>
    <w:rsid w:val="00A10FC8"/>
    <w:rsid w:val="00A136E8"/>
    <w:rsid w:val="00A149D9"/>
    <w:rsid w:val="00A32768"/>
    <w:rsid w:val="00A4612D"/>
    <w:rsid w:val="00A5070A"/>
    <w:rsid w:val="00A547FE"/>
    <w:rsid w:val="00A705F0"/>
    <w:rsid w:val="00A8638C"/>
    <w:rsid w:val="00A873A9"/>
    <w:rsid w:val="00A90C43"/>
    <w:rsid w:val="00A936AD"/>
    <w:rsid w:val="00AE3921"/>
    <w:rsid w:val="00B00C65"/>
    <w:rsid w:val="00B05641"/>
    <w:rsid w:val="00B144EA"/>
    <w:rsid w:val="00B2738C"/>
    <w:rsid w:val="00B31171"/>
    <w:rsid w:val="00B344EA"/>
    <w:rsid w:val="00B348AB"/>
    <w:rsid w:val="00B4725B"/>
    <w:rsid w:val="00B5097B"/>
    <w:rsid w:val="00B552B8"/>
    <w:rsid w:val="00B663E5"/>
    <w:rsid w:val="00B678D9"/>
    <w:rsid w:val="00B7197E"/>
    <w:rsid w:val="00B86EB1"/>
    <w:rsid w:val="00BA18FE"/>
    <w:rsid w:val="00BC42B6"/>
    <w:rsid w:val="00BD7C58"/>
    <w:rsid w:val="00BF5AC5"/>
    <w:rsid w:val="00C00F66"/>
    <w:rsid w:val="00C10CE1"/>
    <w:rsid w:val="00C13429"/>
    <w:rsid w:val="00C346A2"/>
    <w:rsid w:val="00C50211"/>
    <w:rsid w:val="00C52A49"/>
    <w:rsid w:val="00C5407B"/>
    <w:rsid w:val="00C85D5D"/>
    <w:rsid w:val="00C94DFD"/>
    <w:rsid w:val="00CA5C53"/>
    <w:rsid w:val="00CB2706"/>
    <w:rsid w:val="00CB2BFA"/>
    <w:rsid w:val="00CB36A9"/>
    <w:rsid w:val="00CC2AA1"/>
    <w:rsid w:val="00CD02A7"/>
    <w:rsid w:val="00CD5E79"/>
    <w:rsid w:val="00CE178F"/>
    <w:rsid w:val="00D11E6F"/>
    <w:rsid w:val="00D14254"/>
    <w:rsid w:val="00D322A0"/>
    <w:rsid w:val="00D365E1"/>
    <w:rsid w:val="00D45479"/>
    <w:rsid w:val="00D45A30"/>
    <w:rsid w:val="00D571F8"/>
    <w:rsid w:val="00D60E94"/>
    <w:rsid w:val="00D63042"/>
    <w:rsid w:val="00D63CEC"/>
    <w:rsid w:val="00D82DF7"/>
    <w:rsid w:val="00DB27B1"/>
    <w:rsid w:val="00DB475D"/>
    <w:rsid w:val="00DB5706"/>
    <w:rsid w:val="00DC6211"/>
    <w:rsid w:val="00DD0BD1"/>
    <w:rsid w:val="00DE218D"/>
    <w:rsid w:val="00DE314E"/>
    <w:rsid w:val="00DE3DA9"/>
    <w:rsid w:val="00DF0EA3"/>
    <w:rsid w:val="00E15A53"/>
    <w:rsid w:val="00E27E13"/>
    <w:rsid w:val="00E41264"/>
    <w:rsid w:val="00E52815"/>
    <w:rsid w:val="00E761DA"/>
    <w:rsid w:val="00E77272"/>
    <w:rsid w:val="00EA0548"/>
    <w:rsid w:val="00EA5658"/>
    <w:rsid w:val="00EA7455"/>
    <w:rsid w:val="00ED22D8"/>
    <w:rsid w:val="00EE0DC0"/>
    <w:rsid w:val="00EE2FA5"/>
    <w:rsid w:val="00EE6680"/>
    <w:rsid w:val="00F0086E"/>
    <w:rsid w:val="00F05ED4"/>
    <w:rsid w:val="00F13BF4"/>
    <w:rsid w:val="00F2224E"/>
    <w:rsid w:val="00F26ED4"/>
    <w:rsid w:val="00F455DC"/>
    <w:rsid w:val="00F50D1F"/>
    <w:rsid w:val="00F65E3D"/>
    <w:rsid w:val="00F97338"/>
    <w:rsid w:val="00F9765C"/>
    <w:rsid w:val="00FA2B51"/>
    <w:rsid w:val="00FA5DF1"/>
    <w:rsid w:val="00FA6EC5"/>
    <w:rsid w:val="00FB4094"/>
    <w:rsid w:val="00FC67A8"/>
    <w:rsid w:val="00FF037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6"/>
    </o:shapedefaults>
    <o:shapelayout v:ext="edit">
      <o:idmap v:ext="edit" data="1"/>
    </o:shapelayout>
  </w:shapeDefaults>
  <w:decimalSymbol w:val="."/>
  <w:listSeparator w:val=";"/>
  <w14:docId w14:val="080038A3"/>
  <w14:defaultImageDpi w14:val="300"/>
  <w15:docId w15:val="{F3F1EB6D-06F0-4C1C-9D56-7235D942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4A"/>
    <w:pPr>
      <w:spacing w:before="240" w:line="276" w:lineRule="auto"/>
      <w:jc w:val="both"/>
    </w:pPr>
    <w:rPr>
      <w:rFonts w:ascii="Arial" w:hAnsi="Arial" w:cs="Arial"/>
      <w:sz w:val="22"/>
      <w:szCs w:val="24"/>
      <w:lang w:val="en-GB" w:eastAsia="fr-FR"/>
    </w:rPr>
  </w:style>
  <w:style w:type="paragraph" w:styleId="Titre1">
    <w:name w:val="heading 1"/>
    <w:basedOn w:val="Normal"/>
    <w:next w:val="Normal"/>
    <w:qFormat/>
    <w:rsid w:val="005776A0"/>
    <w:pPr>
      <w:widowControl w:val="0"/>
      <w:spacing w:before="480"/>
      <w:outlineLvl w:val="0"/>
    </w:pPr>
    <w:rPr>
      <w:b/>
      <w:bCs/>
      <w:kern w:val="32"/>
      <w:sz w:val="24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link w:val="Pieddepage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rsid w:val="00D45A30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4C22B2"/>
    <w:rPr>
      <w:rFonts w:ascii="Arial" w:hAnsi="Arial"/>
      <w:sz w:val="15"/>
      <w:szCs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83ABA"/>
    <w:pPr>
      <w:spacing w:after="200"/>
      <w:ind w:left="720"/>
      <w:contextualSpacing/>
    </w:pPr>
    <w:rPr>
      <w:rFonts w:ascii="Calibri" w:eastAsia="Calibri" w:hAnsi="Calibri"/>
      <w:szCs w:val="22"/>
      <w:lang w:val="fr-CH" w:eastAsia="en-US"/>
    </w:rPr>
  </w:style>
  <w:style w:type="paragraph" w:styleId="Notedebasdepage">
    <w:name w:val="footnote text"/>
    <w:basedOn w:val="Normal"/>
    <w:link w:val="NotedebasdepageCar"/>
    <w:rsid w:val="003D334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D334F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rsid w:val="003D334F"/>
    <w:rPr>
      <w:vertAlign w:val="superscript"/>
    </w:rPr>
  </w:style>
  <w:style w:type="character" w:styleId="Marquedecommentaire">
    <w:name w:val="annotation reference"/>
    <w:basedOn w:val="Policepardfaut"/>
    <w:rsid w:val="00E41264"/>
    <w:rPr>
      <w:sz w:val="16"/>
      <w:szCs w:val="16"/>
    </w:rPr>
  </w:style>
  <w:style w:type="paragraph" w:styleId="Commentaire">
    <w:name w:val="annotation text"/>
    <w:basedOn w:val="Normal"/>
    <w:link w:val="CommentaireCar"/>
    <w:rsid w:val="00E41264"/>
    <w:rPr>
      <w:szCs w:val="20"/>
    </w:rPr>
  </w:style>
  <w:style w:type="character" w:customStyle="1" w:styleId="CommentaireCar">
    <w:name w:val="Commentaire Car"/>
    <w:basedOn w:val="Policepardfaut"/>
    <w:link w:val="Commentaire"/>
    <w:rsid w:val="00E41264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412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41264"/>
    <w:rPr>
      <w:rFonts w:ascii="Arial" w:hAnsi="Arial"/>
      <w:b/>
      <w:bCs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401F4A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401F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fr-FR"/>
    </w:rPr>
  </w:style>
  <w:style w:type="paragraph" w:styleId="NormalWeb">
    <w:name w:val="Normal (Web)"/>
    <w:basedOn w:val="Normal"/>
    <w:uiPriority w:val="99"/>
    <w:unhideWhenUsed/>
    <w:rsid w:val="00D322A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val="fr-CH" w:eastAsia="fr-CH"/>
    </w:rPr>
  </w:style>
  <w:style w:type="paragraph" w:customStyle="1" w:styleId="Notebasdepage">
    <w:name w:val="Note bas de page"/>
    <w:basedOn w:val="Paragraphedeliste"/>
    <w:link w:val="NotebasdepageCar"/>
    <w:qFormat/>
    <w:rsid w:val="005776A0"/>
    <w:pPr>
      <w:spacing w:before="0" w:after="0"/>
      <w:ind w:left="0"/>
    </w:pPr>
    <w:rPr>
      <w:rFonts w:ascii="Arial" w:hAnsi="Arial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76A0"/>
    <w:rPr>
      <w:rFonts w:ascii="Calibri" w:eastAsia="Calibri" w:hAnsi="Calibri" w:cs="Arial"/>
      <w:sz w:val="22"/>
      <w:szCs w:val="22"/>
      <w:lang w:eastAsia="en-US"/>
    </w:rPr>
  </w:style>
  <w:style w:type="character" w:customStyle="1" w:styleId="NotebasdepageCar">
    <w:name w:val="Note bas de page Car"/>
    <w:basedOn w:val="ParagraphedelisteCar"/>
    <w:link w:val="Notebasdepage"/>
    <w:rsid w:val="005776A0"/>
    <w:rPr>
      <w:rFonts w:ascii="Arial" w:eastAsia="Calibri" w:hAnsi="Arial" w:cs="Arial"/>
      <w:sz w:val="22"/>
      <w:szCs w:val="22"/>
      <w:lang w:eastAsia="en-US"/>
    </w:rPr>
  </w:style>
  <w:style w:type="table" w:styleId="Tramemoyenne1-Accent1">
    <w:name w:val="Medium Shading 1 Accent 1"/>
    <w:basedOn w:val="TableauNormal"/>
    <w:uiPriority w:val="63"/>
    <w:rsid w:val="0014465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g-binding">
    <w:name w:val="ng-binding"/>
    <w:basedOn w:val="Policepardfaut"/>
    <w:rsid w:val="00833A65"/>
  </w:style>
  <w:style w:type="table" w:styleId="Grilledutableau">
    <w:name w:val="Table Grid"/>
    <w:basedOn w:val="TableauNormal"/>
    <w:rsid w:val="005B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1">
    <w:name w:val="Grid Table 2 Accent 1"/>
    <w:basedOn w:val="TableauNormal"/>
    <w:uiPriority w:val="47"/>
    <w:rsid w:val="005B273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ap3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ge.ch/biblio/index.php?cID=18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B128-849C-4041-BE08-7A1C2DCD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</vt:lpstr>
      <vt:lpstr>XXX</vt:lpstr>
    </vt:vector>
  </TitlesOfParts>
  <Company>Université de Genève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UNIGE</dc:creator>
  <cp:lastModifiedBy>Jean-Blaise Claivaz</cp:lastModifiedBy>
  <cp:revision>3</cp:revision>
  <cp:lastPrinted>2015-10-12T08:33:00Z</cp:lastPrinted>
  <dcterms:created xsi:type="dcterms:W3CDTF">2019-10-14T06:45:00Z</dcterms:created>
  <dcterms:modified xsi:type="dcterms:W3CDTF">2019-10-14T06:46:00Z</dcterms:modified>
</cp:coreProperties>
</file>