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143FD" w14:textId="68872D32" w:rsidR="000A5EFF" w:rsidRPr="00825BB8" w:rsidRDefault="00597B02" w:rsidP="004D0B7D">
      <w:pPr>
        <w:jc w:val="center"/>
        <w:rPr>
          <w:b/>
          <w:bCs/>
          <w:lang w:val="en-US"/>
        </w:rPr>
      </w:pPr>
      <w:r w:rsidRPr="00825BB8">
        <w:rPr>
          <w:b/>
          <w:bCs/>
          <w:lang w:val="en-US"/>
        </w:rPr>
        <w:t>CONTENTS</w:t>
      </w:r>
    </w:p>
    <w:p w14:paraId="1981A42F" w14:textId="75918C9D" w:rsidR="00597B02" w:rsidRDefault="00597B02" w:rsidP="00597B02">
      <w:pPr>
        <w:rPr>
          <w:lang w:val="en-US"/>
        </w:rPr>
      </w:pPr>
    </w:p>
    <w:p w14:paraId="6BCC5B4B" w14:textId="73718C29" w:rsidR="00825BB8" w:rsidRPr="00825BB8" w:rsidRDefault="00B50DD7" w:rsidP="00597B02">
      <w:pPr>
        <w:rPr>
          <w:lang w:val="en-US"/>
        </w:rPr>
      </w:pPr>
      <w:r w:rsidRPr="00DB5784">
        <w:rPr>
          <w:rFonts w:ascii="Arial" w:hAnsi="Arial" w:cs="Arial"/>
          <w:b/>
          <w:bCs/>
          <w:lang w:val="en-US"/>
        </w:rPr>
        <w:t>THE ROUTLEDGE HANDBOOK O</w:t>
      </w:r>
      <w:r>
        <w:rPr>
          <w:rFonts w:ascii="Arial" w:hAnsi="Arial" w:cs="Arial"/>
          <w:b/>
          <w:bCs/>
          <w:lang w:val="en-US"/>
        </w:rPr>
        <w:t>F</w:t>
      </w:r>
      <w:r w:rsidRPr="00DB5784">
        <w:rPr>
          <w:rFonts w:ascii="Arial" w:hAnsi="Arial" w:cs="Arial"/>
          <w:b/>
          <w:bCs/>
          <w:lang w:val="en-US"/>
        </w:rPr>
        <w:t xml:space="preserve"> TAXATION AND PHILANTHROPY</w:t>
      </w:r>
    </w:p>
    <w:p w14:paraId="467D69FC" w14:textId="4B1A61B2" w:rsidR="004D0B7D" w:rsidRPr="00597B02" w:rsidRDefault="00597B02" w:rsidP="00597B02">
      <w:pPr>
        <w:tabs>
          <w:tab w:val="left" w:pos="7938"/>
        </w:tabs>
        <w:rPr>
          <w:i/>
          <w:iCs/>
          <w:lang w:val="en-US"/>
        </w:rPr>
      </w:pPr>
      <w:r w:rsidRPr="00597B02">
        <w:rPr>
          <w:i/>
          <w:iCs/>
          <w:lang w:val="en-US"/>
        </w:rPr>
        <w:t>List of figures</w:t>
      </w:r>
      <w:r w:rsidRPr="00597B02">
        <w:rPr>
          <w:i/>
          <w:iCs/>
          <w:lang w:val="en-US"/>
        </w:rPr>
        <w:tab/>
      </w:r>
    </w:p>
    <w:p w14:paraId="75A9720D" w14:textId="3F813F5F" w:rsidR="00597B02" w:rsidRDefault="00597B02" w:rsidP="00597B02">
      <w:pPr>
        <w:tabs>
          <w:tab w:val="left" w:pos="7938"/>
        </w:tabs>
        <w:rPr>
          <w:i/>
          <w:iCs/>
          <w:lang w:val="en-US"/>
        </w:rPr>
      </w:pPr>
      <w:r w:rsidRPr="00597B02">
        <w:rPr>
          <w:i/>
          <w:iCs/>
          <w:lang w:val="en-US"/>
        </w:rPr>
        <w:t>List of tables</w:t>
      </w:r>
    </w:p>
    <w:p w14:paraId="5C6907A9" w14:textId="489C10B5" w:rsidR="00825BB8" w:rsidRPr="00597B02" w:rsidRDefault="00825BB8" w:rsidP="00597B02">
      <w:pPr>
        <w:tabs>
          <w:tab w:val="left" w:pos="7938"/>
        </w:tabs>
        <w:rPr>
          <w:i/>
          <w:iCs/>
          <w:lang w:val="en-US"/>
        </w:rPr>
      </w:pPr>
      <w:r>
        <w:rPr>
          <w:i/>
          <w:iCs/>
          <w:lang w:val="en-US"/>
        </w:rPr>
        <w:t>List of diagrams, annexes, appendixes</w:t>
      </w:r>
    </w:p>
    <w:p w14:paraId="596337B2" w14:textId="4A14D8B4" w:rsidR="00597B02" w:rsidRPr="00597B02" w:rsidRDefault="00597B02" w:rsidP="00597B02">
      <w:pPr>
        <w:tabs>
          <w:tab w:val="left" w:pos="7938"/>
        </w:tabs>
        <w:rPr>
          <w:i/>
          <w:iCs/>
          <w:lang w:val="en-US"/>
        </w:rPr>
      </w:pPr>
      <w:r w:rsidRPr="00597B02">
        <w:rPr>
          <w:i/>
          <w:iCs/>
          <w:lang w:val="en-US"/>
        </w:rPr>
        <w:t>List of contributors</w:t>
      </w:r>
    </w:p>
    <w:p w14:paraId="039375A1" w14:textId="2378AF09" w:rsidR="00597B02" w:rsidRPr="00597B02" w:rsidRDefault="00597B02" w:rsidP="00597B02">
      <w:pPr>
        <w:tabs>
          <w:tab w:val="left" w:pos="7938"/>
        </w:tabs>
        <w:rPr>
          <w:i/>
          <w:iCs/>
          <w:lang w:val="en-US"/>
        </w:rPr>
      </w:pPr>
      <w:r w:rsidRPr="00597B02">
        <w:rPr>
          <w:i/>
          <w:iCs/>
          <w:lang w:val="en-US"/>
        </w:rPr>
        <w:t>Preface</w:t>
      </w:r>
    </w:p>
    <w:p w14:paraId="6D5DA48D" w14:textId="3C7EA7DD" w:rsidR="00597B02" w:rsidRDefault="00597B02" w:rsidP="00597B02">
      <w:pPr>
        <w:tabs>
          <w:tab w:val="left" w:pos="7938"/>
        </w:tabs>
        <w:rPr>
          <w:lang w:val="en-US"/>
        </w:rPr>
      </w:pPr>
    </w:p>
    <w:p w14:paraId="61FA9FD3" w14:textId="77777777" w:rsidR="00597B02" w:rsidRDefault="00597B02" w:rsidP="00597B02">
      <w:pPr>
        <w:tabs>
          <w:tab w:val="left" w:pos="7938"/>
        </w:tabs>
        <w:rPr>
          <w:lang w:val="en-US"/>
        </w:rPr>
      </w:pPr>
    </w:p>
    <w:p w14:paraId="3DE29C5F" w14:textId="5C06ED84" w:rsidR="00597B02" w:rsidRDefault="00597B02">
      <w:pPr>
        <w:rPr>
          <w:b/>
          <w:bCs/>
          <w:lang w:val="en-US"/>
        </w:rPr>
      </w:pPr>
      <w:r w:rsidRPr="00556ECE">
        <w:rPr>
          <w:b/>
          <w:bCs/>
          <w:lang w:val="en-US"/>
        </w:rPr>
        <w:t>Introduction</w:t>
      </w:r>
    </w:p>
    <w:p w14:paraId="10D2B553" w14:textId="5BDEEDDF" w:rsidR="001C31ED" w:rsidRPr="001C31ED" w:rsidRDefault="001C31ED">
      <w:pPr>
        <w:rPr>
          <w:lang w:val="en-US"/>
        </w:rPr>
      </w:pPr>
      <w:r w:rsidRPr="001C31ED">
        <w:rPr>
          <w:lang w:val="en-US"/>
        </w:rPr>
        <w:t>Editors’ introduction to the volume</w:t>
      </w:r>
    </w:p>
    <w:p w14:paraId="1550562C" w14:textId="7A7722CD" w:rsidR="00597B02" w:rsidRPr="00344B78" w:rsidRDefault="00344B78">
      <w:pPr>
        <w:rPr>
          <w:i/>
          <w:iCs/>
          <w:lang w:val="en-US"/>
        </w:rPr>
      </w:pPr>
      <w:r w:rsidRPr="00344B78">
        <w:rPr>
          <w:i/>
          <w:iCs/>
          <w:lang w:val="en-US"/>
        </w:rPr>
        <w:t>Giedre Lideikyte-Huber</w:t>
      </w:r>
      <w:r w:rsidR="001E777C">
        <w:rPr>
          <w:i/>
          <w:iCs/>
          <w:lang w:val="en-US"/>
        </w:rPr>
        <w:t xml:space="preserve"> and </w:t>
      </w:r>
      <w:r w:rsidR="001E777C" w:rsidRPr="00344B78">
        <w:rPr>
          <w:i/>
          <w:iCs/>
          <w:lang w:val="en-US"/>
        </w:rPr>
        <w:t>Henry Peter</w:t>
      </w:r>
    </w:p>
    <w:p w14:paraId="4E1FAA7C" w14:textId="0677DA45" w:rsidR="00597B02" w:rsidRDefault="00597B02">
      <w:pPr>
        <w:rPr>
          <w:lang w:val="en-US"/>
        </w:rPr>
      </w:pPr>
    </w:p>
    <w:p w14:paraId="3EFD4981" w14:textId="77777777" w:rsidR="00FA0FD8" w:rsidRDefault="00FA0FD8">
      <w:pPr>
        <w:rPr>
          <w:lang w:val="en-US"/>
        </w:rPr>
      </w:pPr>
    </w:p>
    <w:p w14:paraId="2EF5B2FF" w14:textId="6F6786FA" w:rsidR="00597B02" w:rsidRPr="00553943" w:rsidRDefault="00597B02">
      <w:pPr>
        <w:rPr>
          <w:b/>
          <w:bCs/>
          <w:lang w:val="en-US"/>
        </w:rPr>
      </w:pPr>
      <w:r w:rsidRPr="00553943">
        <w:rPr>
          <w:b/>
          <w:bCs/>
          <w:lang w:val="en-US"/>
        </w:rPr>
        <w:t>PART I</w:t>
      </w:r>
    </w:p>
    <w:p w14:paraId="76411A69" w14:textId="731C934C" w:rsidR="00597B02" w:rsidRPr="00412A5E" w:rsidRDefault="00412A5E">
      <w:pPr>
        <w:rPr>
          <w:b/>
          <w:bCs/>
          <w:lang w:val="en-US"/>
        </w:rPr>
      </w:pPr>
      <w:r w:rsidRPr="000F4E29">
        <w:rPr>
          <w:b/>
          <w:bCs/>
          <w:lang w:val="en-US"/>
        </w:rPr>
        <w:t>Justification of tax incentives for philanthropy</w:t>
      </w:r>
    </w:p>
    <w:p w14:paraId="15D5E902" w14:textId="77777777" w:rsidR="00597B02" w:rsidRDefault="00597B02">
      <w:pPr>
        <w:rPr>
          <w:lang w:val="en-US"/>
        </w:rPr>
      </w:pPr>
    </w:p>
    <w:p w14:paraId="03A00DAD" w14:textId="17C74A6A" w:rsidR="00597B02" w:rsidRDefault="007A625E" w:rsidP="007A625E">
      <w:pPr>
        <w:pStyle w:val="Paragraphedeliste"/>
        <w:numPr>
          <w:ilvl w:val="0"/>
          <w:numId w:val="1"/>
        </w:numPr>
      </w:pPr>
      <w:r w:rsidRPr="007A625E">
        <w:t>The Proper Relationship of Private Philanthropy and the Liberal Democratic State:</w:t>
      </w:r>
      <w:r w:rsidRPr="007A625E">
        <w:br/>
        <w:t>The Inquiry and the Inquirers as the Answer</w:t>
      </w:r>
    </w:p>
    <w:p w14:paraId="7390059E" w14:textId="10555A60" w:rsidR="00D0553C" w:rsidRPr="00D0553C" w:rsidRDefault="007A625E" w:rsidP="00D0553C">
      <w:pPr>
        <w:pStyle w:val="Paragraphedeliste"/>
        <w:rPr>
          <w:i/>
          <w:iCs/>
        </w:rPr>
      </w:pPr>
      <w:r w:rsidRPr="007A625E">
        <w:rPr>
          <w:i/>
          <w:iCs/>
        </w:rPr>
        <w:t>Robert Atkinson</w:t>
      </w:r>
    </w:p>
    <w:p w14:paraId="02873A3D" w14:textId="77777777" w:rsidR="007A625E" w:rsidRDefault="007A625E" w:rsidP="007A625E">
      <w:pPr>
        <w:pStyle w:val="Paragraphedeliste"/>
      </w:pPr>
    </w:p>
    <w:p w14:paraId="17280437" w14:textId="77777777" w:rsidR="00D0553C" w:rsidRPr="007A625E" w:rsidRDefault="00D0553C" w:rsidP="00D0553C">
      <w:pPr>
        <w:pStyle w:val="Paragraphedeliste"/>
        <w:numPr>
          <w:ilvl w:val="0"/>
          <w:numId w:val="1"/>
        </w:numPr>
      </w:pPr>
      <w:r w:rsidRPr="00FF72B4">
        <w:t>Why fiscally encourage philanthropy? Analysing discourses and issues of political actors who legislate on philanthropy in Switzerland</w:t>
      </w:r>
      <w:r w:rsidRPr="007A625E">
        <w:rPr>
          <w:b/>
          <w:bCs/>
        </w:rPr>
        <w:t xml:space="preserve"> </w:t>
      </w:r>
    </w:p>
    <w:p w14:paraId="1B53786C" w14:textId="68470A10" w:rsidR="00D0553C" w:rsidRPr="00D0553C" w:rsidRDefault="00D0553C" w:rsidP="00D0553C">
      <w:pPr>
        <w:pStyle w:val="Paragraphedeliste"/>
        <w:rPr>
          <w:i/>
          <w:iCs/>
        </w:rPr>
      </w:pPr>
      <w:r w:rsidRPr="007A625E">
        <w:rPr>
          <w:i/>
          <w:iCs/>
        </w:rPr>
        <w:t>Caroline Honegger</w:t>
      </w:r>
      <w:r w:rsidR="008D3E3E">
        <w:rPr>
          <w:i/>
          <w:iCs/>
        </w:rPr>
        <w:t>,</w:t>
      </w:r>
      <w:r w:rsidRPr="007A625E">
        <w:rPr>
          <w:i/>
          <w:iCs/>
        </w:rPr>
        <w:t xml:space="preserve"> Romain Carnac, Philip Balsiger and Alexandre Lambelet</w:t>
      </w:r>
    </w:p>
    <w:p w14:paraId="766B8DB3" w14:textId="77777777" w:rsidR="00D0553C" w:rsidRDefault="00D0553C" w:rsidP="00D0553C">
      <w:pPr>
        <w:pStyle w:val="Paragraphedeliste"/>
      </w:pPr>
    </w:p>
    <w:p w14:paraId="33DD6144" w14:textId="77777777" w:rsidR="00D0553C" w:rsidRDefault="00D0553C" w:rsidP="00D0553C">
      <w:pPr>
        <w:pStyle w:val="Paragraphedeliste"/>
        <w:numPr>
          <w:ilvl w:val="0"/>
          <w:numId w:val="1"/>
        </w:numPr>
      </w:pPr>
      <w:r w:rsidRPr="00FF72B4">
        <w:t>Institutional Short-Circuits: When Should Philanthropy be Incentivised?</w:t>
      </w:r>
    </w:p>
    <w:p w14:paraId="4EE9333C" w14:textId="77777777" w:rsidR="00D0553C" w:rsidRPr="007A625E" w:rsidRDefault="00D0553C" w:rsidP="00D0553C">
      <w:pPr>
        <w:ind w:firstLine="720"/>
        <w:rPr>
          <w:i/>
          <w:iCs/>
        </w:rPr>
      </w:pPr>
      <w:r w:rsidRPr="007A625E">
        <w:rPr>
          <w:i/>
          <w:iCs/>
        </w:rPr>
        <w:t>Emanuela Ceva</w:t>
      </w:r>
    </w:p>
    <w:p w14:paraId="61BD3D16" w14:textId="77777777" w:rsidR="00D0553C" w:rsidRDefault="00D0553C" w:rsidP="00D0553C"/>
    <w:p w14:paraId="69A624C8" w14:textId="77777777" w:rsidR="00D0553C" w:rsidRDefault="00D0553C" w:rsidP="00D0553C">
      <w:pPr>
        <w:pStyle w:val="Paragraphedeliste"/>
        <w:numPr>
          <w:ilvl w:val="0"/>
          <w:numId w:val="1"/>
        </w:numPr>
      </w:pPr>
      <w:r w:rsidRPr="00FF72B4">
        <w:t>The Gifting Puzzle</w:t>
      </w:r>
    </w:p>
    <w:p w14:paraId="25DE0B70" w14:textId="77777777" w:rsidR="00D0553C" w:rsidRPr="007A625E" w:rsidRDefault="00D0553C" w:rsidP="00D0553C">
      <w:pPr>
        <w:pStyle w:val="Paragraphedeliste"/>
        <w:rPr>
          <w:i/>
          <w:iCs/>
        </w:rPr>
      </w:pPr>
      <w:r w:rsidRPr="007A625E">
        <w:rPr>
          <w:i/>
          <w:iCs/>
        </w:rPr>
        <w:t>Emma Tieffenbach</w:t>
      </w:r>
    </w:p>
    <w:p w14:paraId="630EE2A6" w14:textId="77777777" w:rsidR="00D0553C" w:rsidRDefault="00D0553C" w:rsidP="00D0553C"/>
    <w:p w14:paraId="768C34DF" w14:textId="0EFB8AF7" w:rsidR="007A625E" w:rsidRDefault="007A625E" w:rsidP="007A625E">
      <w:pPr>
        <w:pStyle w:val="Paragraphedeliste"/>
        <w:numPr>
          <w:ilvl w:val="0"/>
          <w:numId w:val="1"/>
        </w:numPr>
      </w:pPr>
      <w:r w:rsidRPr="007A625E">
        <w:t>Philanthropy, Class, and Tax in France</w:t>
      </w:r>
    </w:p>
    <w:p w14:paraId="00669E88" w14:textId="770FB7BC" w:rsidR="007A625E" w:rsidRPr="007A625E" w:rsidRDefault="007A625E" w:rsidP="007A625E">
      <w:pPr>
        <w:pStyle w:val="Paragraphedeliste"/>
        <w:rPr>
          <w:i/>
          <w:iCs/>
        </w:rPr>
      </w:pPr>
      <w:r w:rsidRPr="007A625E">
        <w:rPr>
          <w:i/>
          <w:iCs/>
        </w:rPr>
        <w:t>Nicolas Duvoux</w:t>
      </w:r>
    </w:p>
    <w:p w14:paraId="72B016BF" w14:textId="77777777" w:rsidR="007A625E" w:rsidRPr="00FF72B4" w:rsidRDefault="007A625E" w:rsidP="00D0553C"/>
    <w:p w14:paraId="473F7A1F" w14:textId="77777777" w:rsidR="00D0553C" w:rsidRDefault="00D0553C" w:rsidP="00D0553C">
      <w:pPr>
        <w:pStyle w:val="Paragraphedeliste"/>
        <w:numPr>
          <w:ilvl w:val="0"/>
          <w:numId w:val="1"/>
        </w:numPr>
      </w:pPr>
      <w:r w:rsidRPr="00FF72B4">
        <w:t>Charitable ends (perhaps) by political means: what are governments regulating?</w:t>
      </w:r>
    </w:p>
    <w:p w14:paraId="693CC0FD" w14:textId="77777777" w:rsidR="00D0553C" w:rsidRPr="007A625E" w:rsidRDefault="00D0553C" w:rsidP="00D0553C">
      <w:pPr>
        <w:pStyle w:val="Paragraphedeliste"/>
        <w:rPr>
          <w:i/>
          <w:iCs/>
        </w:rPr>
      </w:pPr>
      <w:r w:rsidRPr="007A625E">
        <w:rPr>
          <w:i/>
          <w:iCs/>
        </w:rPr>
        <w:t>Calum M. Carmichael</w:t>
      </w:r>
    </w:p>
    <w:p w14:paraId="6A14C338" w14:textId="77777777" w:rsidR="007A625E" w:rsidRDefault="007A625E" w:rsidP="007A625E"/>
    <w:p w14:paraId="37F25354" w14:textId="2673B732" w:rsidR="007A625E" w:rsidRDefault="007A625E" w:rsidP="007A625E">
      <w:pPr>
        <w:pStyle w:val="Paragraphedeliste"/>
        <w:numPr>
          <w:ilvl w:val="0"/>
          <w:numId w:val="1"/>
        </w:numPr>
      </w:pPr>
      <w:r w:rsidRPr="00FF72B4">
        <w:t>Is it really a Charity? Membership-based entities as charities: the Australian experience</w:t>
      </w:r>
    </w:p>
    <w:p w14:paraId="4047BB7A" w14:textId="1AF007A5" w:rsidR="007A625E" w:rsidRPr="007A625E" w:rsidRDefault="007A625E" w:rsidP="007A625E">
      <w:pPr>
        <w:pStyle w:val="Paragraphedeliste"/>
        <w:rPr>
          <w:i/>
          <w:iCs/>
        </w:rPr>
      </w:pPr>
      <w:r w:rsidRPr="007A625E">
        <w:rPr>
          <w:i/>
          <w:iCs/>
        </w:rPr>
        <w:t>Ann O'Connell</w:t>
      </w:r>
    </w:p>
    <w:p w14:paraId="1132BDF3" w14:textId="77777777" w:rsidR="007A625E" w:rsidRDefault="007A625E" w:rsidP="007A625E"/>
    <w:p w14:paraId="6138B2F7" w14:textId="4258C2D8" w:rsidR="007A625E" w:rsidRDefault="007A625E" w:rsidP="007A625E">
      <w:pPr>
        <w:pStyle w:val="Paragraphedeliste"/>
        <w:numPr>
          <w:ilvl w:val="0"/>
          <w:numId w:val="1"/>
        </w:numPr>
      </w:pPr>
      <w:r w:rsidRPr="00FF72B4">
        <w:t>The Donor Control/ Public Benefit Balance Underlying Philanthropic Tax Concessions</w:t>
      </w:r>
    </w:p>
    <w:p w14:paraId="0E8AC781" w14:textId="2DB74EE6" w:rsidR="007A625E" w:rsidRPr="00D0553C" w:rsidRDefault="007A625E" w:rsidP="00D0553C">
      <w:pPr>
        <w:pStyle w:val="Paragraphedeliste"/>
        <w:rPr>
          <w:i/>
          <w:iCs/>
        </w:rPr>
      </w:pPr>
      <w:r w:rsidRPr="007A625E">
        <w:rPr>
          <w:i/>
          <w:iCs/>
        </w:rPr>
        <w:t>Ian Murray</w:t>
      </w:r>
    </w:p>
    <w:p w14:paraId="42E7BBCF" w14:textId="77777777" w:rsidR="007A625E" w:rsidRPr="00D0553C" w:rsidRDefault="007A625E" w:rsidP="007A625E">
      <w:pPr>
        <w:rPr>
          <w:highlight w:val="yellow"/>
        </w:rPr>
      </w:pPr>
    </w:p>
    <w:p w14:paraId="07486E58" w14:textId="77777777" w:rsidR="00597B02" w:rsidRDefault="00597B02">
      <w:pPr>
        <w:rPr>
          <w:lang w:val="en-US"/>
        </w:rPr>
      </w:pPr>
    </w:p>
    <w:p w14:paraId="3DCCF0B8" w14:textId="0F38C2A7" w:rsidR="00597B02" w:rsidRDefault="00597B02">
      <w:pPr>
        <w:rPr>
          <w:lang w:val="en-US"/>
        </w:rPr>
      </w:pPr>
    </w:p>
    <w:p w14:paraId="51FE525B" w14:textId="77777777" w:rsidR="00FA0FD8" w:rsidRDefault="00FA0FD8">
      <w:pPr>
        <w:rPr>
          <w:lang w:val="en-US"/>
        </w:rPr>
      </w:pPr>
    </w:p>
    <w:p w14:paraId="329044C2" w14:textId="578E682B" w:rsidR="00556ECE" w:rsidRPr="00553943" w:rsidRDefault="00556ECE">
      <w:pPr>
        <w:rPr>
          <w:b/>
          <w:bCs/>
          <w:lang w:val="en-US"/>
        </w:rPr>
      </w:pPr>
      <w:r w:rsidRPr="00553943">
        <w:rPr>
          <w:b/>
          <w:bCs/>
          <w:lang w:val="en-US"/>
        </w:rPr>
        <w:lastRenderedPageBreak/>
        <w:t>PART II</w:t>
      </w:r>
    </w:p>
    <w:p w14:paraId="0D3F1CC1" w14:textId="5FA9DD86" w:rsidR="00553943" w:rsidRPr="000F4E29" w:rsidRDefault="000F4E29">
      <w:pPr>
        <w:rPr>
          <w:b/>
          <w:bCs/>
          <w:lang w:val="en-US"/>
        </w:rPr>
      </w:pPr>
      <w:r w:rsidRPr="000F4E29">
        <w:rPr>
          <w:b/>
          <w:bCs/>
          <w:lang w:val="en-US"/>
        </w:rPr>
        <w:t>Taxes, efficiency and donor behavior: theoretical and empirical insights</w:t>
      </w:r>
    </w:p>
    <w:p w14:paraId="182F5D8B" w14:textId="7CD1A7CE" w:rsidR="00553943" w:rsidRDefault="00553943">
      <w:pPr>
        <w:rPr>
          <w:lang w:val="en-US"/>
        </w:rPr>
      </w:pPr>
    </w:p>
    <w:p w14:paraId="76218D41" w14:textId="1BF750B6" w:rsidR="00945EB7" w:rsidRPr="00945EB7" w:rsidRDefault="00945EB7" w:rsidP="00945EB7">
      <w:pPr>
        <w:pStyle w:val="Paragraphedeliste"/>
        <w:numPr>
          <w:ilvl w:val="0"/>
          <w:numId w:val="1"/>
        </w:numPr>
        <w:rPr>
          <w:lang w:val="en-US"/>
        </w:rPr>
      </w:pPr>
      <w:r w:rsidRPr="00945EB7">
        <w:rPr>
          <w:lang w:val="en-US"/>
        </w:rPr>
        <w:t>Economics of philanthropic tax incentives</w:t>
      </w:r>
    </w:p>
    <w:p w14:paraId="4770DD2F" w14:textId="0034E30A" w:rsidR="00EF62FF" w:rsidRPr="00945EB7" w:rsidRDefault="00EF62FF" w:rsidP="00945EB7">
      <w:pPr>
        <w:pStyle w:val="Paragraphedeliste"/>
        <w:rPr>
          <w:i/>
          <w:iCs/>
          <w:lang w:val="en-US"/>
        </w:rPr>
      </w:pPr>
      <w:r w:rsidRPr="00945EB7">
        <w:rPr>
          <w:i/>
          <w:iCs/>
          <w:lang w:val="en-US"/>
        </w:rPr>
        <w:t>James Andreoni and Sarah Smith</w:t>
      </w:r>
    </w:p>
    <w:p w14:paraId="1BA0D203" w14:textId="77777777" w:rsidR="00EF62FF" w:rsidRPr="00EF62FF" w:rsidRDefault="00EF62FF" w:rsidP="00EF62FF">
      <w:pPr>
        <w:pStyle w:val="Paragraphedeliste"/>
        <w:rPr>
          <w:lang w:val="en-US"/>
        </w:rPr>
      </w:pPr>
    </w:p>
    <w:p w14:paraId="7BF62CDF" w14:textId="77777777" w:rsidR="00D0553C" w:rsidRPr="00EF62FF" w:rsidRDefault="00D0553C" w:rsidP="00D0553C">
      <w:pPr>
        <w:pStyle w:val="Paragraphedeliste"/>
        <w:numPr>
          <w:ilvl w:val="0"/>
          <w:numId w:val="1"/>
        </w:numPr>
        <w:rPr>
          <w:lang w:val="en-US"/>
        </w:rPr>
      </w:pPr>
      <w:r w:rsidRPr="00FF72B4">
        <w:t>The Design of Tax Incentives for Giving</w:t>
      </w:r>
    </w:p>
    <w:p w14:paraId="2DD613D4" w14:textId="10850349" w:rsidR="00D0553C" w:rsidRPr="00D0553C" w:rsidRDefault="00D0553C" w:rsidP="00D0553C">
      <w:pPr>
        <w:pStyle w:val="Paragraphedeliste"/>
        <w:rPr>
          <w:i/>
          <w:iCs/>
        </w:rPr>
      </w:pPr>
      <w:r w:rsidRPr="00EF62FF">
        <w:rPr>
          <w:i/>
          <w:iCs/>
        </w:rPr>
        <w:t>Richard Steinberg</w:t>
      </w:r>
    </w:p>
    <w:p w14:paraId="1E45EF33" w14:textId="77777777" w:rsidR="00D0553C" w:rsidRPr="00D0553C" w:rsidRDefault="00D0553C" w:rsidP="00D0553C">
      <w:pPr>
        <w:rPr>
          <w:lang w:val="en-US"/>
        </w:rPr>
      </w:pPr>
    </w:p>
    <w:p w14:paraId="71E63824" w14:textId="77777777" w:rsidR="00D0553C" w:rsidRPr="00D0553C" w:rsidRDefault="00D0553C" w:rsidP="00D0553C">
      <w:pPr>
        <w:pStyle w:val="Paragraphedeliste"/>
        <w:numPr>
          <w:ilvl w:val="0"/>
          <w:numId w:val="1"/>
        </w:numPr>
      </w:pPr>
      <w:r w:rsidRPr="00D0553C">
        <w:t>Treasury efficiency of the Canadian tax regime for private foundations and their founders</w:t>
      </w:r>
    </w:p>
    <w:p w14:paraId="2804B6FD" w14:textId="77777777" w:rsidR="00D0553C" w:rsidRPr="007A625E" w:rsidRDefault="00D0553C" w:rsidP="00D0553C">
      <w:pPr>
        <w:pStyle w:val="Paragraphedeliste"/>
        <w:rPr>
          <w:i/>
          <w:iCs/>
        </w:rPr>
      </w:pPr>
      <w:r w:rsidRPr="00D0553C">
        <w:rPr>
          <w:i/>
          <w:iCs/>
          <w:lang w:val="fr-CH"/>
        </w:rPr>
        <w:t>Brigitte Alepin</w:t>
      </w:r>
    </w:p>
    <w:p w14:paraId="41D9CC33" w14:textId="77777777" w:rsidR="00EF62FF" w:rsidRPr="00D0553C" w:rsidRDefault="00EF62FF" w:rsidP="00D0553C">
      <w:pPr>
        <w:rPr>
          <w:lang w:val="en-US"/>
        </w:rPr>
      </w:pPr>
    </w:p>
    <w:p w14:paraId="3C6ABF35" w14:textId="5B7B956B" w:rsidR="00EF62FF" w:rsidRPr="00EF62FF" w:rsidRDefault="00EF62FF" w:rsidP="00EF62FF">
      <w:pPr>
        <w:pStyle w:val="Paragraphedeliste"/>
        <w:numPr>
          <w:ilvl w:val="0"/>
          <w:numId w:val="1"/>
        </w:numPr>
        <w:rPr>
          <w:lang w:val="en-US"/>
        </w:rPr>
      </w:pPr>
      <w:r w:rsidRPr="00FF72B4">
        <w:t>Tax-price Elasticity of Charitable Donations - Evidence from the German Taxpayer Panel</w:t>
      </w:r>
    </w:p>
    <w:p w14:paraId="18C2F3E4" w14:textId="50F4910F" w:rsidR="00D0553C" w:rsidRPr="00D0553C" w:rsidRDefault="00EF62FF" w:rsidP="00D0553C">
      <w:pPr>
        <w:pStyle w:val="Paragraphedeliste"/>
        <w:rPr>
          <w:i/>
          <w:iCs/>
        </w:rPr>
      </w:pPr>
      <w:r w:rsidRPr="00EF62FF">
        <w:rPr>
          <w:i/>
          <w:iCs/>
        </w:rPr>
        <w:t>Maja Adena</w:t>
      </w:r>
    </w:p>
    <w:p w14:paraId="50DBC996" w14:textId="77777777" w:rsidR="00EF62FF" w:rsidRPr="00EF62FF" w:rsidRDefault="00EF62FF" w:rsidP="00EF62FF">
      <w:pPr>
        <w:pStyle w:val="Paragraphedeliste"/>
        <w:rPr>
          <w:lang w:val="en-US"/>
        </w:rPr>
      </w:pPr>
    </w:p>
    <w:p w14:paraId="6CD8A3A4" w14:textId="77777777" w:rsidR="00D0553C" w:rsidRPr="00EF62FF" w:rsidRDefault="00D0553C" w:rsidP="00D0553C">
      <w:pPr>
        <w:pStyle w:val="Paragraphedeliste"/>
        <w:numPr>
          <w:ilvl w:val="0"/>
          <w:numId w:val="1"/>
        </w:numPr>
        <w:rPr>
          <w:lang w:val="en-US"/>
        </w:rPr>
      </w:pPr>
      <w:r w:rsidRPr="00FF72B4">
        <w:t>Analysing the Role of Tax Incentives for Donations to Non-Profit Organisations in India</w:t>
      </w:r>
    </w:p>
    <w:p w14:paraId="7AAD7E71" w14:textId="0FA7A5AE" w:rsidR="00D0553C" w:rsidRDefault="00D0553C" w:rsidP="00D0553C">
      <w:pPr>
        <w:pStyle w:val="Paragraphedeliste"/>
        <w:rPr>
          <w:i/>
          <w:iCs/>
        </w:rPr>
      </w:pPr>
      <w:r w:rsidRPr="00EF62FF">
        <w:rPr>
          <w:i/>
          <w:iCs/>
        </w:rPr>
        <w:t>Malini Chakravarty and Priyadarshini Singh</w:t>
      </w:r>
    </w:p>
    <w:p w14:paraId="6C4304B6" w14:textId="77777777" w:rsidR="00EF62FF" w:rsidRPr="00D0553C" w:rsidRDefault="00EF62FF" w:rsidP="00D0553C">
      <w:pPr>
        <w:rPr>
          <w:lang w:val="en-US"/>
        </w:rPr>
      </w:pPr>
    </w:p>
    <w:p w14:paraId="1DB18BCC" w14:textId="3E92D26D" w:rsidR="00EF62FF" w:rsidRPr="00CD7FD3" w:rsidRDefault="00CD7FD3" w:rsidP="00CD7FD3">
      <w:pPr>
        <w:pStyle w:val="Paragraphedeliste"/>
        <w:numPr>
          <w:ilvl w:val="0"/>
          <w:numId w:val="1"/>
        </w:numPr>
        <w:rPr>
          <w:rFonts w:eastAsia="Times New Roman" w:cstheme="minorHAnsi"/>
          <w:lang w:eastAsia="en-GB"/>
        </w:rPr>
      </w:pPr>
      <w:r w:rsidRPr="00CD7FD3">
        <w:rPr>
          <w:rFonts w:eastAsia="Times New Roman" w:cstheme="minorHAnsi"/>
          <w:color w:val="000000"/>
          <w:lang w:eastAsia="en-GB"/>
        </w:rPr>
        <w:t>Tax Incentives for Charitable Giving: Evidence from the Swiss Canton of Geneva</w:t>
      </w:r>
    </w:p>
    <w:p w14:paraId="2FF3BA8A" w14:textId="2C56064C" w:rsidR="00EF62FF" w:rsidRPr="00EF62FF" w:rsidRDefault="00EF62FF" w:rsidP="00EF62FF">
      <w:pPr>
        <w:pStyle w:val="Paragraphedeliste"/>
        <w:rPr>
          <w:i/>
          <w:iCs/>
          <w:lang w:val="it-CH"/>
        </w:rPr>
      </w:pPr>
      <w:r w:rsidRPr="00EF62FF">
        <w:rPr>
          <w:i/>
          <w:iCs/>
          <w:lang w:val="it-CH"/>
        </w:rPr>
        <w:t>Giedre Lideikyte</w:t>
      </w:r>
      <w:r>
        <w:rPr>
          <w:i/>
          <w:iCs/>
          <w:lang w:val="it-CH"/>
        </w:rPr>
        <w:t>-</w:t>
      </w:r>
      <w:r w:rsidRPr="00EF62FF">
        <w:rPr>
          <w:i/>
          <w:iCs/>
          <w:lang w:val="it-CH"/>
        </w:rPr>
        <w:t>Huber, Marta Pittavino and Henry Peter</w:t>
      </w:r>
    </w:p>
    <w:p w14:paraId="0F80002E" w14:textId="77777777" w:rsidR="00EF62FF" w:rsidRPr="00EF62FF" w:rsidRDefault="00EF62FF" w:rsidP="00EF62FF">
      <w:pPr>
        <w:rPr>
          <w:lang w:val="it-CH"/>
        </w:rPr>
      </w:pPr>
    </w:p>
    <w:p w14:paraId="1363669E" w14:textId="77777777" w:rsidR="00D0553C" w:rsidRPr="00EF62FF" w:rsidRDefault="00D0553C" w:rsidP="00D0553C">
      <w:pPr>
        <w:pStyle w:val="Paragraphedeliste"/>
        <w:numPr>
          <w:ilvl w:val="0"/>
          <w:numId w:val="1"/>
        </w:numPr>
        <w:rPr>
          <w:lang w:val="en-US"/>
        </w:rPr>
      </w:pPr>
      <w:r w:rsidRPr="00FF72B4">
        <w:t>Who gives and who gets? Tax policy and the long-run distribution of philanthropy in the US</w:t>
      </w:r>
    </w:p>
    <w:p w14:paraId="676486D9" w14:textId="2A9AC9B4" w:rsidR="00D0553C" w:rsidRDefault="00D0553C" w:rsidP="00D0553C">
      <w:pPr>
        <w:pStyle w:val="Paragraphedeliste"/>
        <w:rPr>
          <w:i/>
          <w:iCs/>
        </w:rPr>
      </w:pPr>
      <w:r w:rsidRPr="00EF62FF">
        <w:rPr>
          <w:i/>
          <w:iCs/>
        </w:rPr>
        <w:t>Nicolas Duquett</w:t>
      </w:r>
      <w:r w:rsidR="00FA0FD8">
        <w:rPr>
          <w:i/>
          <w:iCs/>
        </w:rPr>
        <w:t>e and</w:t>
      </w:r>
      <w:r w:rsidRPr="00EF62FF">
        <w:rPr>
          <w:i/>
          <w:iCs/>
        </w:rPr>
        <w:t xml:space="preserve"> Jennifer Mayo</w:t>
      </w:r>
    </w:p>
    <w:p w14:paraId="48651394" w14:textId="77777777" w:rsidR="00D0553C" w:rsidRPr="00EF62FF" w:rsidRDefault="00D0553C" w:rsidP="00D0553C">
      <w:pPr>
        <w:pStyle w:val="Paragraphedeliste"/>
        <w:rPr>
          <w:i/>
          <w:iCs/>
        </w:rPr>
      </w:pPr>
    </w:p>
    <w:p w14:paraId="06FC29A8" w14:textId="77777777" w:rsidR="00D0553C" w:rsidRPr="00D0553C" w:rsidRDefault="00D0553C" w:rsidP="00D0553C">
      <w:pPr>
        <w:pStyle w:val="Paragraphedeliste"/>
        <w:numPr>
          <w:ilvl w:val="0"/>
          <w:numId w:val="1"/>
        </w:numPr>
      </w:pPr>
      <w:r w:rsidRPr="00D0553C">
        <w:t>Aligning tax incentives with motivations for philanthropy: Insights from psychology and neuroscience</w:t>
      </w:r>
    </w:p>
    <w:p w14:paraId="12D6BC72" w14:textId="77777777" w:rsidR="00D0553C" w:rsidRPr="007A625E" w:rsidRDefault="00D0553C" w:rsidP="00D0553C">
      <w:pPr>
        <w:pStyle w:val="Paragraphedeliste"/>
        <w:rPr>
          <w:i/>
          <w:iCs/>
        </w:rPr>
      </w:pPr>
      <w:r w:rsidRPr="00D0553C">
        <w:rPr>
          <w:i/>
          <w:iCs/>
        </w:rPr>
        <w:t>Jo Cutler</w:t>
      </w:r>
    </w:p>
    <w:p w14:paraId="53080D8C" w14:textId="77777777" w:rsidR="00D0553C" w:rsidRDefault="00D0553C" w:rsidP="00D0553C"/>
    <w:p w14:paraId="6A5D1041" w14:textId="77777777" w:rsidR="00D0553C" w:rsidRPr="00D0553C" w:rsidRDefault="00D0553C" w:rsidP="00D0553C">
      <w:pPr>
        <w:pStyle w:val="Paragraphedeliste"/>
        <w:numPr>
          <w:ilvl w:val="0"/>
          <w:numId w:val="1"/>
        </w:numPr>
      </w:pPr>
      <w:r w:rsidRPr="00D0553C">
        <w:t>Philanthropy as a self-taxation mechanism with happy outcomes: Crafting a new public discourse</w:t>
      </w:r>
    </w:p>
    <w:p w14:paraId="0F45868D" w14:textId="77777777" w:rsidR="00D0553C" w:rsidRPr="00D0553C" w:rsidRDefault="00D0553C" w:rsidP="00D0553C">
      <w:pPr>
        <w:pStyle w:val="Paragraphedeliste"/>
        <w:rPr>
          <w:i/>
          <w:iCs/>
        </w:rPr>
      </w:pPr>
      <w:r w:rsidRPr="00D0553C">
        <w:rPr>
          <w:i/>
          <w:iCs/>
        </w:rPr>
        <w:t>Charles Sellen</w:t>
      </w:r>
    </w:p>
    <w:p w14:paraId="3BAA67F8" w14:textId="77777777" w:rsidR="00D0553C" w:rsidRPr="00D0553C" w:rsidRDefault="00D0553C" w:rsidP="00D0553C">
      <w:pPr>
        <w:pStyle w:val="Paragraphedeliste"/>
        <w:rPr>
          <w:lang w:val="en-US"/>
        </w:rPr>
      </w:pPr>
    </w:p>
    <w:p w14:paraId="01F7C903" w14:textId="77777777" w:rsidR="00D0553C" w:rsidRPr="00EF62FF" w:rsidRDefault="00D0553C" w:rsidP="00D0553C">
      <w:pPr>
        <w:pStyle w:val="Paragraphedeliste"/>
        <w:numPr>
          <w:ilvl w:val="0"/>
          <w:numId w:val="1"/>
        </w:numPr>
        <w:rPr>
          <w:lang w:val="en-US"/>
        </w:rPr>
      </w:pPr>
      <w:r w:rsidRPr="00FF72B4">
        <w:t>Inter-charity competition and efficiency – considerations beyond fundraising and tax incentives for giving</w:t>
      </w:r>
    </w:p>
    <w:p w14:paraId="19E73A7B" w14:textId="77777777" w:rsidR="00D0553C" w:rsidRPr="00EF62FF" w:rsidRDefault="00D0553C" w:rsidP="00D0553C">
      <w:pPr>
        <w:pStyle w:val="Paragraphedeliste"/>
        <w:rPr>
          <w:i/>
          <w:iCs/>
        </w:rPr>
      </w:pPr>
      <w:r w:rsidRPr="00EF62FF">
        <w:rPr>
          <w:i/>
          <w:iCs/>
        </w:rPr>
        <w:t>Kimberley Scharf and Johannes Lohse</w:t>
      </w:r>
    </w:p>
    <w:p w14:paraId="438FE2AC" w14:textId="77777777" w:rsidR="00D0553C" w:rsidRPr="00D0553C" w:rsidRDefault="00D0553C" w:rsidP="00D0553C">
      <w:pPr>
        <w:rPr>
          <w:highlight w:val="yellow"/>
          <w:lang w:val="en-US"/>
        </w:rPr>
      </w:pPr>
    </w:p>
    <w:p w14:paraId="40360F99" w14:textId="77777777" w:rsidR="00D0553C" w:rsidRPr="00D0553C" w:rsidRDefault="00D0553C" w:rsidP="00D0553C">
      <w:pPr>
        <w:pStyle w:val="Paragraphedeliste"/>
        <w:numPr>
          <w:ilvl w:val="0"/>
          <w:numId w:val="1"/>
        </w:numPr>
        <w:rPr>
          <w:lang w:val="en-US"/>
        </w:rPr>
      </w:pPr>
      <w:r w:rsidRPr="00D0553C">
        <w:t>How can we improve tax incentives for charitable giving? Lessons from field experiments in fundraising</w:t>
      </w:r>
    </w:p>
    <w:p w14:paraId="33D63292" w14:textId="00CD3128" w:rsidR="00FA0FD8" w:rsidRPr="00825BB8" w:rsidRDefault="00D0553C" w:rsidP="00825BB8">
      <w:pPr>
        <w:pStyle w:val="Paragraphedeliste"/>
        <w:rPr>
          <w:i/>
          <w:iCs/>
          <w:lang w:val="en-US"/>
        </w:rPr>
      </w:pPr>
      <w:r w:rsidRPr="00D0553C">
        <w:rPr>
          <w:i/>
          <w:iCs/>
        </w:rPr>
        <w:t>Maja Adena</w:t>
      </w:r>
    </w:p>
    <w:p w14:paraId="43319564" w14:textId="77777777" w:rsidR="00FA0FD8" w:rsidRPr="00D0553C" w:rsidRDefault="00FA0FD8" w:rsidP="00D0553C">
      <w:pPr>
        <w:rPr>
          <w:highlight w:val="yellow"/>
          <w:lang w:val="en-US"/>
        </w:rPr>
      </w:pPr>
    </w:p>
    <w:p w14:paraId="0668D07B" w14:textId="7E63E95B" w:rsidR="00EF62FF" w:rsidRPr="00D0553C" w:rsidRDefault="00EF62FF" w:rsidP="00EF62FF">
      <w:pPr>
        <w:pStyle w:val="Paragraphedeliste"/>
        <w:numPr>
          <w:ilvl w:val="0"/>
          <w:numId w:val="1"/>
        </w:numPr>
        <w:rPr>
          <w:lang w:val="en-US"/>
        </w:rPr>
      </w:pPr>
      <w:r w:rsidRPr="00D0553C">
        <w:t>Behavioural philanthropy: Harnessing behavioural sciences to design more effective tax incentives for philanthropy</w:t>
      </w:r>
    </w:p>
    <w:p w14:paraId="4A93577D" w14:textId="1FDFD994" w:rsidR="00553943" w:rsidRPr="00825BB8" w:rsidRDefault="00EF62FF" w:rsidP="00825BB8">
      <w:pPr>
        <w:pStyle w:val="Paragraphedeliste"/>
        <w:rPr>
          <w:i/>
          <w:iCs/>
          <w:lang w:val="en-US"/>
        </w:rPr>
      </w:pPr>
      <w:r w:rsidRPr="00D0553C">
        <w:rPr>
          <w:i/>
          <w:iCs/>
          <w:lang w:val="en-US"/>
        </w:rPr>
        <w:t>Ursa Bernardic, Ma</w:t>
      </w:r>
      <w:r w:rsidR="00564F4E">
        <w:rPr>
          <w:i/>
          <w:iCs/>
          <w:lang w:val="en-US"/>
        </w:rPr>
        <w:t>ë</w:t>
      </w:r>
      <w:r w:rsidRPr="00D0553C">
        <w:rPr>
          <w:i/>
          <w:iCs/>
          <w:lang w:val="en-US"/>
        </w:rPr>
        <w:t>l Lebreton, Giedre Lideikyte-Huber, Henry Peter</w:t>
      </w:r>
      <w:r w:rsidR="00564F4E">
        <w:rPr>
          <w:i/>
          <w:iCs/>
          <w:lang w:val="en-US"/>
        </w:rPr>
        <w:t xml:space="preserve"> and </w:t>
      </w:r>
      <w:r w:rsidR="00564F4E" w:rsidRPr="00D0553C">
        <w:rPr>
          <w:i/>
          <w:iCs/>
          <w:lang w:val="en-US"/>
        </w:rPr>
        <w:t>Giuseppe Ugazi</w:t>
      </w:r>
      <w:r w:rsidR="00825BB8">
        <w:rPr>
          <w:i/>
          <w:iCs/>
          <w:lang w:val="en-US"/>
        </w:rPr>
        <w:t>o</w:t>
      </w:r>
    </w:p>
    <w:p w14:paraId="1FC5E892" w14:textId="77777777" w:rsidR="00FA0FD8" w:rsidRDefault="00FA0FD8">
      <w:pPr>
        <w:rPr>
          <w:lang w:val="en-US"/>
        </w:rPr>
      </w:pPr>
    </w:p>
    <w:p w14:paraId="0ADE3CF8" w14:textId="2E3168C0" w:rsidR="00553943" w:rsidRPr="00553943" w:rsidRDefault="00553943">
      <w:pPr>
        <w:rPr>
          <w:b/>
          <w:bCs/>
          <w:lang w:val="en-US"/>
        </w:rPr>
      </w:pPr>
      <w:r w:rsidRPr="00553943">
        <w:rPr>
          <w:b/>
          <w:bCs/>
          <w:lang w:val="en-US"/>
        </w:rPr>
        <w:t>PART III</w:t>
      </w:r>
    </w:p>
    <w:p w14:paraId="2527B564" w14:textId="77777777" w:rsidR="00603DBD" w:rsidRPr="00603DBD" w:rsidRDefault="00603DBD" w:rsidP="00603DBD">
      <w:pPr>
        <w:rPr>
          <w:b/>
          <w:bCs/>
          <w:lang w:val="en-US"/>
        </w:rPr>
      </w:pPr>
      <w:r w:rsidRPr="00603DBD">
        <w:rPr>
          <w:b/>
          <w:bCs/>
          <w:lang w:val="en-US"/>
        </w:rPr>
        <w:t>Tax incentives for cross-border philanthropy</w:t>
      </w:r>
    </w:p>
    <w:p w14:paraId="3ECDA8E3" w14:textId="0E551201" w:rsidR="00412A5E" w:rsidRDefault="00412A5E">
      <w:pPr>
        <w:rPr>
          <w:lang w:val="en-US"/>
        </w:rPr>
      </w:pPr>
    </w:p>
    <w:p w14:paraId="70A06A0C" w14:textId="2F98B530" w:rsidR="00EF62FF" w:rsidRPr="00BE7983" w:rsidRDefault="00BE7983" w:rsidP="00EF62FF">
      <w:pPr>
        <w:pStyle w:val="Paragraphedeliste"/>
        <w:numPr>
          <w:ilvl w:val="0"/>
          <w:numId w:val="1"/>
        </w:numPr>
        <w:rPr>
          <w:lang w:val="en-US"/>
        </w:rPr>
      </w:pPr>
      <w:r w:rsidRPr="00FF72B4">
        <w:t>Double taxation conventions as potential tools to promote cross-border philanthropic payments</w:t>
      </w:r>
    </w:p>
    <w:p w14:paraId="4F78CA06" w14:textId="6F626B15" w:rsidR="0045657E" w:rsidRPr="0045657E" w:rsidRDefault="00BE7983" w:rsidP="0045657E">
      <w:pPr>
        <w:pStyle w:val="Paragraphedeliste"/>
        <w:rPr>
          <w:i/>
          <w:iCs/>
        </w:rPr>
      </w:pPr>
      <w:r w:rsidRPr="00BE7983">
        <w:rPr>
          <w:i/>
          <w:iCs/>
        </w:rPr>
        <w:t>Xavier Oberson</w:t>
      </w:r>
    </w:p>
    <w:p w14:paraId="7423EB40" w14:textId="77777777" w:rsidR="00BE7983" w:rsidRPr="00BE7983" w:rsidRDefault="00BE7983" w:rsidP="00BE7983">
      <w:pPr>
        <w:pStyle w:val="Paragraphedeliste"/>
        <w:rPr>
          <w:lang w:val="en-US"/>
        </w:rPr>
      </w:pPr>
    </w:p>
    <w:p w14:paraId="45C6174A" w14:textId="77777777" w:rsidR="0045657E" w:rsidRPr="00BE7983" w:rsidRDefault="0045657E" w:rsidP="0045657E">
      <w:pPr>
        <w:pStyle w:val="Paragraphedeliste"/>
        <w:numPr>
          <w:ilvl w:val="0"/>
          <w:numId w:val="1"/>
        </w:numPr>
        <w:rPr>
          <w:lang w:val="en-US"/>
        </w:rPr>
      </w:pPr>
      <w:r w:rsidRPr="00FF72B4">
        <w:t>Solutions to cross-border charitable giving in practice: the perspective of arts organizations</w:t>
      </w:r>
    </w:p>
    <w:p w14:paraId="5B783C49" w14:textId="77777777" w:rsidR="0045657E" w:rsidRPr="00BE7983" w:rsidRDefault="0045657E" w:rsidP="0045657E">
      <w:pPr>
        <w:pStyle w:val="Paragraphedeliste"/>
        <w:rPr>
          <w:i/>
          <w:iCs/>
          <w:lang w:val="en-US"/>
        </w:rPr>
      </w:pPr>
      <w:r w:rsidRPr="00BE7983">
        <w:rPr>
          <w:i/>
          <w:iCs/>
        </w:rPr>
        <w:t>Renate Buijze</w:t>
      </w:r>
    </w:p>
    <w:p w14:paraId="4582CB82" w14:textId="77777777" w:rsidR="0045657E" w:rsidRPr="0045657E" w:rsidRDefault="0045657E" w:rsidP="0045657E">
      <w:pPr>
        <w:pStyle w:val="Paragraphedeliste"/>
        <w:rPr>
          <w:lang w:val="en-US"/>
        </w:rPr>
      </w:pPr>
    </w:p>
    <w:p w14:paraId="6F3FF404" w14:textId="7FCF56EA" w:rsidR="00BE7983" w:rsidRPr="00BE7983" w:rsidRDefault="00BE7983" w:rsidP="00EF62FF">
      <w:pPr>
        <w:pStyle w:val="Paragraphedeliste"/>
        <w:numPr>
          <w:ilvl w:val="0"/>
          <w:numId w:val="1"/>
        </w:numPr>
        <w:rPr>
          <w:lang w:val="en-US"/>
        </w:rPr>
      </w:pPr>
      <w:r w:rsidRPr="00FF72B4">
        <w:t>Cross-Border Philanthropy: A U</w:t>
      </w:r>
      <w:r w:rsidR="00945EB7">
        <w:t>.</w:t>
      </w:r>
      <w:r w:rsidRPr="00FF72B4">
        <w:t>S</w:t>
      </w:r>
      <w:r w:rsidR="00945EB7">
        <w:t>.</w:t>
      </w:r>
      <w:r w:rsidRPr="00FF72B4">
        <w:t xml:space="preserve"> Perspective</w:t>
      </w:r>
    </w:p>
    <w:p w14:paraId="559DBB67" w14:textId="25C4927D" w:rsidR="00BE7983" w:rsidRPr="00BE7983" w:rsidRDefault="00BE7983" w:rsidP="00BE7983">
      <w:pPr>
        <w:pStyle w:val="Paragraphedeliste"/>
        <w:rPr>
          <w:i/>
          <w:iCs/>
        </w:rPr>
      </w:pPr>
      <w:r w:rsidRPr="00BE7983">
        <w:rPr>
          <w:i/>
          <w:iCs/>
        </w:rPr>
        <w:t>Eric Zolt</w:t>
      </w:r>
    </w:p>
    <w:p w14:paraId="013495D0" w14:textId="77777777" w:rsidR="00BE7983" w:rsidRPr="00BE7983" w:rsidRDefault="00BE7983" w:rsidP="00BE7983">
      <w:pPr>
        <w:rPr>
          <w:lang w:val="en-US"/>
        </w:rPr>
      </w:pPr>
    </w:p>
    <w:p w14:paraId="0E5AFD76" w14:textId="1A465AF3" w:rsidR="00BE7983" w:rsidRPr="00BE7983" w:rsidRDefault="00BE7983" w:rsidP="00EF62FF">
      <w:pPr>
        <w:pStyle w:val="Paragraphedeliste"/>
        <w:numPr>
          <w:ilvl w:val="0"/>
          <w:numId w:val="1"/>
        </w:numPr>
        <w:rPr>
          <w:lang w:val="en-US"/>
        </w:rPr>
      </w:pPr>
      <w:r w:rsidRPr="00FF72B4">
        <w:t>Removing Tax Barriers to Cross-border Philanthropy: Lessons from Australia</w:t>
      </w:r>
    </w:p>
    <w:p w14:paraId="181BE902" w14:textId="3DD35A42" w:rsidR="00BE7983" w:rsidRPr="00BE7983" w:rsidRDefault="00BE7983" w:rsidP="00BE7983">
      <w:pPr>
        <w:pStyle w:val="Paragraphedeliste"/>
        <w:rPr>
          <w:i/>
          <w:iCs/>
        </w:rPr>
      </w:pPr>
      <w:r w:rsidRPr="00BE7983">
        <w:rPr>
          <w:i/>
          <w:iCs/>
        </w:rPr>
        <w:t>Natalie Silver</w:t>
      </w:r>
    </w:p>
    <w:p w14:paraId="355E9CB3" w14:textId="09AE3FC5" w:rsidR="00412A5E" w:rsidRDefault="00412A5E">
      <w:pPr>
        <w:rPr>
          <w:lang w:val="en-US"/>
        </w:rPr>
      </w:pPr>
    </w:p>
    <w:p w14:paraId="7CD119A4" w14:textId="77777777" w:rsidR="00412A5E" w:rsidRDefault="00412A5E">
      <w:pPr>
        <w:rPr>
          <w:lang w:val="en-US"/>
        </w:rPr>
      </w:pPr>
    </w:p>
    <w:p w14:paraId="6B469F02" w14:textId="7BB903E9" w:rsidR="00412A5E" w:rsidRPr="00412A5E" w:rsidRDefault="00412A5E">
      <w:pPr>
        <w:rPr>
          <w:b/>
          <w:bCs/>
          <w:lang w:val="en-US"/>
        </w:rPr>
      </w:pPr>
      <w:r w:rsidRPr="00412A5E">
        <w:rPr>
          <w:b/>
          <w:bCs/>
          <w:lang w:val="en-US"/>
        </w:rPr>
        <w:t>PART IV</w:t>
      </w:r>
    </w:p>
    <w:p w14:paraId="03D7EB13" w14:textId="52F33AB7" w:rsidR="00412A5E" w:rsidRPr="005005C5" w:rsidRDefault="00603DBD">
      <w:pPr>
        <w:rPr>
          <w:b/>
          <w:bCs/>
          <w:lang w:val="en-US"/>
        </w:rPr>
      </w:pPr>
      <w:r w:rsidRPr="00603DBD">
        <w:rPr>
          <w:b/>
          <w:bCs/>
          <w:lang w:val="en-US"/>
        </w:rPr>
        <w:t>Tax incentives for hybrid entities and social entrepreneurship</w:t>
      </w:r>
    </w:p>
    <w:p w14:paraId="1CB69EF4" w14:textId="24FCB907" w:rsidR="00412A5E" w:rsidRDefault="00412A5E">
      <w:pPr>
        <w:rPr>
          <w:lang w:val="en-US"/>
        </w:rPr>
      </w:pPr>
    </w:p>
    <w:p w14:paraId="0E5318D6" w14:textId="3BDFA718" w:rsidR="00412A5E" w:rsidRPr="00BE7983" w:rsidRDefault="00BE7983" w:rsidP="00BE7983">
      <w:pPr>
        <w:pStyle w:val="Paragraphedeliste"/>
        <w:numPr>
          <w:ilvl w:val="0"/>
          <w:numId w:val="1"/>
        </w:numPr>
        <w:rPr>
          <w:lang w:val="en-US"/>
        </w:rPr>
      </w:pPr>
      <w:r w:rsidRPr="00FF72B4">
        <w:t>Tax reactions on entrepreneurial philanthropy: the case of the Netherlands</w:t>
      </w:r>
    </w:p>
    <w:p w14:paraId="0E1A1BC3" w14:textId="77022072" w:rsidR="00BE7983" w:rsidRPr="00BE7983" w:rsidRDefault="00BE7983" w:rsidP="00BE7983">
      <w:pPr>
        <w:pStyle w:val="Paragraphedeliste"/>
        <w:rPr>
          <w:i/>
          <w:iCs/>
          <w:lang w:val="en-US"/>
        </w:rPr>
      </w:pPr>
      <w:r w:rsidRPr="00BE7983">
        <w:rPr>
          <w:i/>
          <w:iCs/>
          <w:lang w:val="en-US"/>
        </w:rPr>
        <w:t>Sigrid Hemels</w:t>
      </w:r>
    </w:p>
    <w:p w14:paraId="27A3AD60" w14:textId="77777777" w:rsidR="00BE7983" w:rsidRPr="00BE7983" w:rsidRDefault="00BE7983" w:rsidP="00BE7983">
      <w:pPr>
        <w:pStyle w:val="Paragraphedeliste"/>
        <w:rPr>
          <w:lang w:val="en-US"/>
        </w:rPr>
      </w:pPr>
    </w:p>
    <w:p w14:paraId="55C77843" w14:textId="4D3F0E5F" w:rsidR="00BE7983" w:rsidRPr="00775F69" w:rsidRDefault="00BE7983" w:rsidP="00BE7983">
      <w:pPr>
        <w:pStyle w:val="Paragraphedeliste"/>
        <w:numPr>
          <w:ilvl w:val="0"/>
          <w:numId w:val="1"/>
        </w:numPr>
        <w:rPr>
          <w:lang w:val="en-US"/>
        </w:rPr>
      </w:pPr>
      <w:r w:rsidRPr="00775F69">
        <w:t>Culture Change is Hard: Evidence from A Tax Reform in the Netherlands</w:t>
      </w:r>
    </w:p>
    <w:p w14:paraId="07172BD4" w14:textId="10E27D9C" w:rsidR="00BE7983" w:rsidRPr="00825BB8" w:rsidRDefault="00BE7983" w:rsidP="00BE7983">
      <w:pPr>
        <w:pStyle w:val="Paragraphedeliste"/>
        <w:rPr>
          <w:i/>
          <w:iCs/>
          <w:lang w:val="nl-NL"/>
        </w:rPr>
      </w:pPr>
      <w:r w:rsidRPr="00825BB8">
        <w:rPr>
          <w:i/>
          <w:iCs/>
          <w:lang w:val="nl-NL"/>
        </w:rPr>
        <w:t>René Bekkers, Stephanie Maas</w:t>
      </w:r>
      <w:r w:rsidR="00705C0C" w:rsidRPr="00825BB8">
        <w:rPr>
          <w:i/>
          <w:iCs/>
          <w:lang w:val="nl-NL"/>
        </w:rPr>
        <w:t xml:space="preserve"> and </w:t>
      </w:r>
      <w:r w:rsidRPr="00825BB8">
        <w:rPr>
          <w:i/>
          <w:iCs/>
          <w:lang w:val="nl-NL"/>
        </w:rPr>
        <w:t>Claire van Teunenbroek</w:t>
      </w:r>
    </w:p>
    <w:p w14:paraId="333E6E18" w14:textId="77777777" w:rsidR="00BE7983" w:rsidRPr="00825BB8" w:rsidRDefault="00BE7983" w:rsidP="00BE7983">
      <w:pPr>
        <w:pStyle w:val="Paragraphedeliste"/>
        <w:rPr>
          <w:lang w:val="nl-NL"/>
        </w:rPr>
      </w:pPr>
    </w:p>
    <w:p w14:paraId="54594739" w14:textId="6E888F8B" w:rsidR="00BE7983" w:rsidRPr="00BE7983" w:rsidRDefault="00BE7983" w:rsidP="00BE7983">
      <w:pPr>
        <w:pStyle w:val="Paragraphedeliste"/>
        <w:numPr>
          <w:ilvl w:val="0"/>
          <w:numId w:val="1"/>
        </w:numPr>
        <w:rPr>
          <w:lang w:val="en-US"/>
        </w:rPr>
      </w:pPr>
      <w:r w:rsidRPr="00FF72B4">
        <w:t>Trust and For-Profit Philanthropy: from Surrey’s Private Foundation to Zuckerberg’s Limited Liability Company</w:t>
      </w:r>
    </w:p>
    <w:p w14:paraId="07F7C6BA" w14:textId="52D527F4" w:rsidR="00BE7983" w:rsidRPr="00BE7983" w:rsidRDefault="00BE7983" w:rsidP="00BE7983">
      <w:pPr>
        <w:pStyle w:val="Paragraphedeliste"/>
        <w:rPr>
          <w:i/>
          <w:iCs/>
        </w:rPr>
      </w:pPr>
      <w:r w:rsidRPr="00BE7983">
        <w:rPr>
          <w:i/>
          <w:iCs/>
        </w:rPr>
        <w:t>Steven Dean and Dana Brakman Reiser</w:t>
      </w:r>
    </w:p>
    <w:p w14:paraId="566AA2BE" w14:textId="77777777" w:rsidR="00BE7983" w:rsidRPr="00BE7983" w:rsidRDefault="00BE7983" w:rsidP="00BE7983">
      <w:pPr>
        <w:pStyle w:val="Paragraphedeliste"/>
        <w:rPr>
          <w:lang w:val="en-US"/>
        </w:rPr>
      </w:pPr>
    </w:p>
    <w:p w14:paraId="0C53F019" w14:textId="3A507E57" w:rsidR="00BE7983" w:rsidRPr="00BE7983" w:rsidRDefault="00BE7983" w:rsidP="00BE7983">
      <w:pPr>
        <w:pStyle w:val="Paragraphedeliste"/>
        <w:numPr>
          <w:ilvl w:val="0"/>
          <w:numId w:val="1"/>
        </w:numPr>
        <w:rPr>
          <w:lang w:val="en-US"/>
        </w:rPr>
      </w:pPr>
      <w:r w:rsidRPr="00FF72B4">
        <w:t>The growing concept of social enterprise in Australia: Can a social enterprise take advantage of tax concessions by operating through a charity?</w:t>
      </w:r>
    </w:p>
    <w:p w14:paraId="3D0B937E" w14:textId="365DA1FA" w:rsidR="00BE7983" w:rsidRPr="00BE7983" w:rsidRDefault="00BE7983" w:rsidP="00BE7983">
      <w:pPr>
        <w:pStyle w:val="Paragraphedeliste"/>
        <w:rPr>
          <w:i/>
          <w:iCs/>
        </w:rPr>
      </w:pPr>
      <w:r w:rsidRPr="00BE7983">
        <w:rPr>
          <w:i/>
          <w:iCs/>
        </w:rPr>
        <w:t>Fiona Martin</w:t>
      </w:r>
    </w:p>
    <w:p w14:paraId="411BCD49" w14:textId="77777777" w:rsidR="00BE7983" w:rsidRPr="00BE7983" w:rsidRDefault="00BE7983" w:rsidP="00BE7983">
      <w:pPr>
        <w:pStyle w:val="Paragraphedeliste"/>
        <w:rPr>
          <w:lang w:val="en-US"/>
        </w:rPr>
      </w:pPr>
    </w:p>
    <w:p w14:paraId="48B3FB40" w14:textId="629F3EB6" w:rsidR="00BE7983" w:rsidRPr="00BE7983" w:rsidRDefault="00BE7983" w:rsidP="00BE7983">
      <w:pPr>
        <w:pStyle w:val="Paragraphedeliste"/>
        <w:numPr>
          <w:ilvl w:val="0"/>
          <w:numId w:val="1"/>
        </w:numPr>
        <w:rPr>
          <w:lang w:val="en-US"/>
        </w:rPr>
      </w:pPr>
      <w:r w:rsidRPr="00FF72B4">
        <w:t>Social entrepreneurship: is it social or entrepreneurship? Tax treatment of social entrepreneurship in Switzerland</w:t>
      </w:r>
    </w:p>
    <w:p w14:paraId="2B15B624" w14:textId="73F67A28" w:rsidR="00BE7983" w:rsidRPr="00825BB8" w:rsidRDefault="00BE7983" w:rsidP="00825BB8">
      <w:pPr>
        <w:pStyle w:val="Paragraphedeliste"/>
        <w:rPr>
          <w:i/>
          <w:iCs/>
        </w:rPr>
      </w:pPr>
      <w:r w:rsidRPr="00BE7983">
        <w:rPr>
          <w:i/>
          <w:iCs/>
        </w:rPr>
        <w:t>Raphaël Gani</w:t>
      </w:r>
    </w:p>
    <w:p w14:paraId="4A003404" w14:textId="77777777" w:rsidR="00FA0FD8" w:rsidRPr="00BE7983" w:rsidRDefault="00FA0FD8" w:rsidP="00BE7983">
      <w:pPr>
        <w:pStyle w:val="Paragraphedeliste"/>
        <w:rPr>
          <w:lang w:val="en-US"/>
        </w:rPr>
      </w:pPr>
    </w:p>
    <w:p w14:paraId="22C72EC1" w14:textId="5549471C" w:rsidR="009D4CD0" w:rsidRPr="009D4CD0" w:rsidRDefault="009D4CD0" w:rsidP="009F3659">
      <w:pPr>
        <w:pStyle w:val="Paragraphedeliste"/>
        <w:numPr>
          <w:ilvl w:val="0"/>
          <w:numId w:val="1"/>
        </w:numPr>
        <w:rPr>
          <w:i/>
          <w:iCs/>
          <w:lang w:val="en-US"/>
        </w:rPr>
      </w:pPr>
      <w:r w:rsidRPr="009D4CD0">
        <w:t xml:space="preserve">Impact of the overlap of public and private initiatives on the philanthropy tax regime in </w:t>
      </w:r>
      <w:r>
        <w:t>France</w:t>
      </w:r>
    </w:p>
    <w:p w14:paraId="46ABABE1" w14:textId="14FF575C" w:rsidR="00BE7983" w:rsidRPr="009D4CD0" w:rsidRDefault="00BE7983" w:rsidP="009D4CD0">
      <w:pPr>
        <w:pStyle w:val="Paragraphedeliste"/>
        <w:rPr>
          <w:i/>
          <w:iCs/>
          <w:lang w:val="fr-CH"/>
        </w:rPr>
      </w:pPr>
      <w:r w:rsidRPr="009D4CD0">
        <w:rPr>
          <w:i/>
          <w:iCs/>
          <w:lang w:val="fr-CH"/>
        </w:rPr>
        <w:t>Philippe Duran</w:t>
      </w:r>
      <w:r w:rsidR="006F2C57" w:rsidRPr="009D4CD0">
        <w:rPr>
          <w:i/>
          <w:iCs/>
          <w:lang w:val="fr-CH"/>
        </w:rPr>
        <w:t xml:space="preserve">d, </w:t>
      </w:r>
      <w:r w:rsidRPr="009D4CD0">
        <w:rPr>
          <w:i/>
          <w:iCs/>
          <w:lang w:val="fr-CH"/>
        </w:rPr>
        <w:t>Dominique Lemaistre</w:t>
      </w:r>
      <w:r w:rsidR="006F2C57" w:rsidRPr="009D4CD0">
        <w:rPr>
          <w:i/>
          <w:iCs/>
          <w:lang w:val="fr-CH"/>
        </w:rPr>
        <w:t xml:space="preserve"> and Laurence de Nervaux</w:t>
      </w:r>
    </w:p>
    <w:p w14:paraId="2310568A" w14:textId="15F9BBCC" w:rsidR="00412A5E" w:rsidRDefault="00412A5E">
      <w:pPr>
        <w:rPr>
          <w:lang w:val="fr-CH"/>
        </w:rPr>
      </w:pPr>
    </w:p>
    <w:p w14:paraId="28A64419" w14:textId="77777777" w:rsidR="00FA0FD8" w:rsidRPr="00BE7983" w:rsidRDefault="00FA0FD8">
      <w:pPr>
        <w:rPr>
          <w:lang w:val="fr-CH"/>
        </w:rPr>
      </w:pPr>
    </w:p>
    <w:p w14:paraId="2E157D29" w14:textId="27318FA2" w:rsidR="00412A5E" w:rsidRPr="0074467F" w:rsidRDefault="00412A5E">
      <w:pPr>
        <w:rPr>
          <w:b/>
          <w:bCs/>
          <w:lang w:val="en-US"/>
        </w:rPr>
      </w:pPr>
      <w:r w:rsidRPr="0074467F">
        <w:rPr>
          <w:b/>
          <w:bCs/>
          <w:lang w:val="en-US"/>
        </w:rPr>
        <w:t>APPENDIX</w:t>
      </w:r>
    </w:p>
    <w:p w14:paraId="47F108CE" w14:textId="329EA72B" w:rsidR="004D0B7D" w:rsidRPr="0000452E" w:rsidRDefault="00412A5E" w:rsidP="0000452E">
      <w:pPr>
        <w:tabs>
          <w:tab w:val="left" w:pos="427"/>
        </w:tabs>
        <w:rPr>
          <w:b/>
          <w:bCs/>
          <w:lang w:val="en-US"/>
        </w:rPr>
      </w:pPr>
      <w:r w:rsidRPr="00412A5E">
        <w:rPr>
          <w:b/>
          <w:bCs/>
          <w:lang w:val="en-US"/>
        </w:rPr>
        <w:t>OECD Report on Taxation and Philanthropy in Member States and Selected Participating Countrie</w:t>
      </w:r>
      <w:r w:rsidR="00825BB8">
        <w:rPr>
          <w:b/>
          <w:bCs/>
          <w:lang w:val="en-US"/>
        </w:rPr>
        <w:t>s</w:t>
      </w:r>
    </w:p>
    <w:sectPr w:rsidR="004D0B7D" w:rsidRPr="0000452E" w:rsidSect="00825BB8">
      <w:headerReference w:type="default" r:id="rId7"/>
      <w:footerReference w:type="even" r:id="rId8"/>
      <w:footerReference w:type="default" r:id="rId9"/>
      <w:pgSz w:w="11906" w:h="16838"/>
      <w:pgMar w:top="1081" w:right="1440" w:bottom="166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A74F3" w14:textId="77777777" w:rsidR="00E452F4" w:rsidRDefault="00E452F4" w:rsidP="00F4039A">
      <w:r>
        <w:separator/>
      </w:r>
    </w:p>
  </w:endnote>
  <w:endnote w:type="continuationSeparator" w:id="0">
    <w:p w14:paraId="02F3A6B6" w14:textId="77777777" w:rsidR="00E452F4" w:rsidRDefault="00E452F4" w:rsidP="00F4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46126422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EC773BB" w14:textId="3D67DC19" w:rsidR="00F4039A" w:rsidRDefault="00F4039A" w:rsidP="0016007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C3EC2E4" w14:textId="77777777" w:rsidR="00F4039A" w:rsidRDefault="00F4039A" w:rsidP="00F4039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505278806"/>
      <w:docPartObj>
        <w:docPartGallery w:val="Page Numbers (Bottom of Page)"/>
        <w:docPartUnique/>
      </w:docPartObj>
    </w:sdtPr>
    <w:sdtEndPr>
      <w:rPr>
        <w:rStyle w:val="Numrodepage"/>
        <w:sz w:val="18"/>
        <w:szCs w:val="18"/>
      </w:rPr>
    </w:sdtEndPr>
    <w:sdtContent>
      <w:p w14:paraId="59F3B7A9" w14:textId="1037E73B" w:rsidR="00F4039A" w:rsidRDefault="00F4039A" w:rsidP="00160075">
        <w:pPr>
          <w:pStyle w:val="Pieddepage"/>
          <w:framePr w:wrap="none" w:vAnchor="text" w:hAnchor="margin" w:xAlign="right" w:y="1"/>
          <w:rPr>
            <w:rStyle w:val="Numrodepage"/>
          </w:rPr>
        </w:pPr>
        <w:r w:rsidRPr="00F4039A">
          <w:rPr>
            <w:rStyle w:val="Numrodepage"/>
            <w:sz w:val="18"/>
            <w:szCs w:val="18"/>
          </w:rPr>
          <w:fldChar w:fldCharType="begin"/>
        </w:r>
        <w:r w:rsidRPr="00F4039A">
          <w:rPr>
            <w:rStyle w:val="Numrodepage"/>
            <w:sz w:val="18"/>
            <w:szCs w:val="18"/>
          </w:rPr>
          <w:instrText xml:space="preserve"> PAGE </w:instrText>
        </w:r>
        <w:r w:rsidRPr="00F4039A">
          <w:rPr>
            <w:rStyle w:val="Numrodepage"/>
            <w:sz w:val="18"/>
            <w:szCs w:val="18"/>
          </w:rPr>
          <w:fldChar w:fldCharType="separate"/>
        </w:r>
        <w:r w:rsidRPr="00F4039A">
          <w:rPr>
            <w:rStyle w:val="Numrodepage"/>
            <w:noProof/>
            <w:sz w:val="18"/>
            <w:szCs w:val="18"/>
          </w:rPr>
          <w:t>1</w:t>
        </w:r>
        <w:r w:rsidRPr="00F4039A">
          <w:rPr>
            <w:rStyle w:val="Numrodepage"/>
            <w:sz w:val="18"/>
            <w:szCs w:val="18"/>
          </w:rPr>
          <w:fldChar w:fldCharType="end"/>
        </w:r>
      </w:p>
    </w:sdtContent>
  </w:sdt>
  <w:p w14:paraId="253AC065" w14:textId="77777777" w:rsidR="00F4039A" w:rsidRDefault="00F4039A" w:rsidP="00F4039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5DEF8" w14:textId="77777777" w:rsidR="00E452F4" w:rsidRDefault="00E452F4" w:rsidP="00F4039A">
      <w:r>
        <w:separator/>
      </w:r>
    </w:p>
  </w:footnote>
  <w:footnote w:type="continuationSeparator" w:id="0">
    <w:p w14:paraId="1FB9A4EE" w14:textId="77777777" w:rsidR="00E452F4" w:rsidRDefault="00E452F4" w:rsidP="00F40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8B36" w14:textId="7BAD85BB" w:rsidR="00B33078" w:rsidRPr="00B33078" w:rsidRDefault="00B33078" w:rsidP="00B33078">
    <w:pPr>
      <w:pStyle w:val="En-tte"/>
      <w:jc w:val="right"/>
      <w:rPr>
        <w:i/>
        <w:iCs/>
        <w:sz w:val="18"/>
        <w:szCs w:val="18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E3C56"/>
    <w:multiLevelType w:val="hybridMultilevel"/>
    <w:tmpl w:val="6C86DDCC"/>
    <w:lvl w:ilvl="0" w:tplc="34169B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F128E"/>
    <w:multiLevelType w:val="hybridMultilevel"/>
    <w:tmpl w:val="B944DE44"/>
    <w:lvl w:ilvl="0" w:tplc="2C121C9A">
      <w:start w:val="1"/>
      <w:numFmt w:val="decimal"/>
      <w:lvlText w:val="%1."/>
      <w:lvlJc w:val="left"/>
      <w:pPr>
        <w:ind w:left="720" w:hanging="360"/>
      </w:pPr>
    </w:lvl>
    <w:lvl w:ilvl="1" w:tplc="96968AC0" w:tentative="1">
      <w:start w:val="1"/>
      <w:numFmt w:val="lowerLetter"/>
      <w:lvlText w:val="%2."/>
      <w:lvlJc w:val="left"/>
      <w:pPr>
        <w:ind w:left="1440" w:hanging="360"/>
      </w:pPr>
    </w:lvl>
    <w:lvl w:ilvl="2" w:tplc="9264B174" w:tentative="1">
      <w:start w:val="1"/>
      <w:numFmt w:val="lowerRoman"/>
      <w:lvlText w:val="%3."/>
      <w:lvlJc w:val="right"/>
      <w:pPr>
        <w:ind w:left="2160" w:hanging="180"/>
      </w:pPr>
    </w:lvl>
    <w:lvl w:ilvl="3" w:tplc="233E6A32" w:tentative="1">
      <w:start w:val="1"/>
      <w:numFmt w:val="decimal"/>
      <w:lvlText w:val="%4."/>
      <w:lvlJc w:val="left"/>
      <w:pPr>
        <w:ind w:left="2880" w:hanging="360"/>
      </w:pPr>
    </w:lvl>
    <w:lvl w:ilvl="4" w:tplc="94587712" w:tentative="1">
      <w:start w:val="1"/>
      <w:numFmt w:val="lowerLetter"/>
      <w:lvlText w:val="%5."/>
      <w:lvlJc w:val="left"/>
      <w:pPr>
        <w:ind w:left="3600" w:hanging="360"/>
      </w:pPr>
    </w:lvl>
    <w:lvl w:ilvl="5" w:tplc="927E883C" w:tentative="1">
      <w:start w:val="1"/>
      <w:numFmt w:val="lowerRoman"/>
      <w:lvlText w:val="%6."/>
      <w:lvlJc w:val="right"/>
      <w:pPr>
        <w:ind w:left="4320" w:hanging="180"/>
      </w:pPr>
    </w:lvl>
    <w:lvl w:ilvl="6" w:tplc="E1E8247E" w:tentative="1">
      <w:start w:val="1"/>
      <w:numFmt w:val="decimal"/>
      <w:lvlText w:val="%7."/>
      <w:lvlJc w:val="left"/>
      <w:pPr>
        <w:ind w:left="5040" w:hanging="360"/>
      </w:pPr>
    </w:lvl>
    <w:lvl w:ilvl="7" w:tplc="79B0C39A" w:tentative="1">
      <w:start w:val="1"/>
      <w:numFmt w:val="lowerLetter"/>
      <w:lvlText w:val="%8."/>
      <w:lvlJc w:val="left"/>
      <w:pPr>
        <w:ind w:left="5760" w:hanging="360"/>
      </w:pPr>
    </w:lvl>
    <w:lvl w:ilvl="8" w:tplc="8E860C6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7D"/>
    <w:rsid w:val="0000452E"/>
    <w:rsid w:val="000467F6"/>
    <w:rsid w:val="00056B7B"/>
    <w:rsid w:val="000A5EFF"/>
    <w:rsid w:val="000F4E29"/>
    <w:rsid w:val="001242B8"/>
    <w:rsid w:val="001C31ED"/>
    <w:rsid w:val="001C4319"/>
    <w:rsid w:val="001E777C"/>
    <w:rsid w:val="00344B78"/>
    <w:rsid w:val="00412A5E"/>
    <w:rsid w:val="0045657E"/>
    <w:rsid w:val="004D0B7D"/>
    <w:rsid w:val="004D27BC"/>
    <w:rsid w:val="005005C5"/>
    <w:rsid w:val="00553943"/>
    <w:rsid w:val="00556ECE"/>
    <w:rsid w:val="00564F4E"/>
    <w:rsid w:val="00597B02"/>
    <w:rsid w:val="00603DBD"/>
    <w:rsid w:val="006F2C57"/>
    <w:rsid w:val="00705C0C"/>
    <w:rsid w:val="00734E26"/>
    <w:rsid w:val="0074467F"/>
    <w:rsid w:val="00775F69"/>
    <w:rsid w:val="007A625E"/>
    <w:rsid w:val="007B4E7C"/>
    <w:rsid w:val="007E7339"/>
    <w:rsid w:val="007F468A"/>
    <w:rsid w:val="00825BB8"/>
    <w:rsid w:val="00877C23"/>
    <w:rsid w:val="008A3F8F"/>
    <w:rsid w:val="008D3E3E"/>
    <w:rsid w:val="00945EB7"/>
    <w:rsid w:val="00962731"/>
    <w:rsid w:val="00977341"/>
    <w:rsid w:val="00983E7D"/>
    <w:rsid w:val="00990093"/>
    <w:rsid w:val="00990DFC"/>
    <w:rsid w:val="009B2AF9"/>
    <w:rsid w:val="009D4CD0"/>
    <w:rsid w:val="00AE5CA2"/>
    <w:rsid w:val="00B33078"/>
    <w:rsid w:val="00B50DD7"/>
    <w:rsid w:val="00B76A77"/>
    <w:rsid w:val="00BC5C02"/>
    <w:rsid w:val="00BE7983"/>
    <w:rsid w:val="00C31511"/>
    <w:rsid w:val="00C87CAE"/>
    <w:rsid w:val="00CB18AD"/>
    <w:rsid w:val="00CD7FD3"/>
    <w:rsid w:val="00D0553C"/>
    <w:rsid w:val="00D27C5D"/>
    <w:rsid w:val="00D975B0"/>
    <w:rsid w:val="00E30367"/>
    <w:rsid w:val="00E452F4"/>
    <w:rsid w:val="00E64CDE"/>
    <w:rsid w:val="00E95A0D"/>
    <w:rsid w:val="00EF62FF"/>
    <w:rsid w:val="00F4039A"/>
    <w:rsid w:val="00FA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E5FB00"/>
  <w15:chartTrackingRefBased/>
  <w15:docId w15:val="{77EECB60-C0BE-CF4E-AB49-0F43472C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F4039A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039A"/>
    <w:rPr>
      <w:lang w:val="en-GB"/>
    </w:rPr>
  </w:style>
  <w:style w:type="character" w:styleId="Numrodepage">
    <w:name w:val="page number"/>
    <w:basedOn w:val="Policepardfaut"/>
    <w:uiPriority w:val="99"/>
    <w:semiHidden/>
    <w:unhideWhenUsed/>
    <w:rsid w:val="00F4039A"/>
  </w:style>
  <w:style w:type="paragraph" w:styleId="En-tte">
    <w:name w:val="header"/>
    <w:basedOn w:val="Normal"/>
    <w:link w:val="En-tteCar"/>
    <w:uiPriority w:val="99"/>
    <w:unhideWhenUsed/>
    <w:rsid w:val="00F4039A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F4039A"/>
    <w:rPr>
      <w:lang w:val="en-GB"/>
    </w:rPr>
  </w:style>
  <w:style w:type="paragraph" w:styleId="Paragraphedeliste">
    <w:name w:val="List Paragraph"/>
    <w:basedOn w:val="Normal"/>
    <w:uiPriority w:val="34"/>
    <w:qFormat/>
    <w:rsid w:val="007A625E"/>
    <w:pPr>
      <w:ind w:left="720"/>
      <w:contextualSpacing/>
    </w:pPr>
  </w:style>
  <w:style w:type="table" w:styleId="Grilledutableau">
    <w:name w:val="Table Grid"/>
    <w:basedOn w:val="TableauNormal"/>
    <w:uiPriority w:val="39"/>
    <w:rsid w:val="007A6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945EB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945EB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3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621</Words>
  <Characters>3436</Characters>
  <Application>Microsoft Office Word</Application>
  <DocSecurity>0</DocSecurity>
  <Lines>43</Lines>
  <Paragraphs>5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Semia BF</dc:creator>
  <cp:keywords/>
  <dc:description/>
  <cp:lastModifiedBy>Laetitia Gill-Motte</cp:lastModifiedBy>
  <cp:revision>2</cp:revision>
  <dcterms:created xsi:type="dcterms:W3CDTF">2021-11-23T14:10:00Z</dcterms:created>
  <dcterms:modified xsi:type="dcterms:W3CDTF">2021-11-23T14:10:00Z</dcterms:modified>
</cp:coreProperties>
</file>