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DE893" w14:textId="45005B91" w:rsidR="00036AF4" w:rsidRPr="00DE2C7C" w:rsidRDefault="00036AF4" w:rsidP="00036AF4">
      <w:pPr>
        <w:pStyle w:val="NoSpacing"/>
        <w:jc w:val="center"/>
        <w:rPr>
          <w:rFonts w:ascii="Garamond" w:eastAsia="Arial Unicode MS" w:hAnsi="Garamond" w:cs="Arial Unicode MS"/>
          <w:b/>
          <w:lang w:val="en-US"/>
        </w:rPr>
      </w:pPr>
      <w:r w:rsidRPr="00DE2C7C">
        <w:rPr>
          <w:rFonts w:ascii="Garamond" w:eastAsia="Arial Unicode MS" w:hAnsi="Garamond" w:cs="Arial Unicode MS"/>
          <w:b/>
          <w:lang w:val="en-US"/>
        </w:rPr>
        <w:t>Round</w:t>
      </w:r>
      <w:r w:rsidR="00C6281A">
        <w:rPr>
          <w:rFonts w:ascii="Garamond" w:eastAsia="Arial Unicode MS" w:hAnsi="Garamond" w:cs="Arial Unicode MS"/>
          <w:b/>
          <w:lang w:val="en-US"/>
        </w:rPr>
        <w:t>t</w:t>
      </w:r>
      <w:r w:rsidRPr="00DE2C7C">
        <w:rPr>
          <w:rFonts w:ascii="Garamond" w:eastAsia="Arial Unicode MS" w:hAnsi="Garamond" w:cs="Arial Unicode MS"/>
          <w:b/>
          <w:lang w:val="en-US"/>
        </w:rPr>
        <w:t>able on Trust</w:t>
      </w:r>
      <w:r>
        <w:rPr>
          <w:rFonts w:ascii="Garamond" w:eastAsia="Arial Unicode MS" w:hAnsi="Garamond" w:cs="Arial Unicode MS"/>
          <w:b/>
          <w:lang w:val="en-US"/>
        </w:rPr>
        <w:t xml:space="preserve"> in Public Institutions</w:t>
      </w:r>
    </w:p>
    <w:p w14:paraId="3A5FF9F6" w14:textId="77777777" w:rsidR="00036AF4" w:rsidRPr="00444705" w:rsidRDefault="00036AF4" w:rsidP="00036AF4">
      <w:pPr>
        <w:pStyle w:val="NoSpacing"/>
        <w:jc w:val="center"/>
        <w:rPr>
          <w:rFonts w:ascii="Garamond" w:eastAsia="Arial Unicode MS" w:hAnsi="Garamond" w:cs="Arial Unicode MS"/>
          <w:sz w:val="22"/>
          <w:szCs w:val="22"/>
          <w:lang w:val="en-US"/>
        </w:rPr>
      </w:pPr>
    </w:p>
    <w:p w14:paraId="0F0532CE" w14:textId="77777777" w:rsidR="00036AF4" w:rsidRPr="00444705" w:rsidRDefault="00036AF4" w:rsidP="00036AF4">
      <w:pPr>
        <w:pStyle w:val="NoSpacing"/>
        <w:jc w:val="center"/>
        <w:rPr>
          <w:rFonts w:ascii="Garamond" w:eastAsia="Arial Unicode MS" w:hAnsi="Garamond" w:cs="Arial Unicode MS"/>
          <w:i/>
          <w:iCs/>
          <w:sz w:val="22"/>
          <w:szCs w:val="22"/>
          <w:lang w:val="en-US"/>
        </w:rPr>
      </w:pPr>
      <w:r>
        <w:rPr>
          <w:rFonts w:ascii="Garamond" w:eastAsia="Arial Unicode MS" w:hAnsi="Garamond" w:cs="Arial Unicode MS"/>
          <w:sz w:val="22"/>
          <w:szCs w:val="22"/>
          <w:lang w:val="en-US"/>
        </w:rPr>
        <w:t>Closing event</w:t>
      </w: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 of </w:t>
      </w:r>
      <w:hyperlink r:id="rId5" w:history="1">
        <w:r w:rsidRPr="00444705">
          <w:rPr>
            <w:rStyle w:val="Hyperlink"/>
            <w:rFonts w:ascii="Garamond" w:eastAsia="Arial Unicode MS" w:hAnsi="Garamond" w:cs="Arial Unicode MS"/>
            <w:i/>
            <w:iCs/>
            <w:sz w:val="22"/>
            <w:szCs w:val="22"/>
            <w:lang w:val="en-US"/>
          </w:rPr>
          <w:t>EnTrust-Endogenous Institutional Trustworthiness</w:t>
        </w:r>
      </w:hyperlink>
      <w:r>
        <w:rPr>
          <w:rStyle w:val="Hyperlink"/>
          <w:rFonts w:ascii="Garamond" w:eastAsia="Arial Unicode MS" w:hAnsi="Garamond" w:cs="Arial Unicode MS"/>
          <w:i/>
          <w:iCs/>
          <w:sz w:val="22"/>
          <w:szCs w:val="22"/>
          <w:lang w:val="en-US"/>
        </w:rPr>
        <w:t xml:space="preserve"> </w:t>
      </w: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>project</w:t>
      </w:r>
    </w:p>
    <w:p w14:paraId="557AB38B" w14:textId="77777777" w:rsidR="00036AF4" w:rsidRDefault="00036AF4" w:rsidP="00036AF4">
      <w:pPr>
        <w:pStyle w:val="NoSpacing"/>
        <w:jc w:val="center"/>
        <w:rPr>
          <w:rFonts w:ascii="Garamond" w:eastAsia="Arial Unicode MS" w:hAnsi="Garamond" w:cs="Arial Unicode MS"/>
          <w:sz w:val="22"/>
          <w:szCs w:val="22"/>
          <w:lang w:val="en-US"/>
        </w:rPr>
      </w:pP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>(PI: Emanuela Ceva, University of Geneva)</w:t>
      </w:r>
    </w:p>
    <w:p w14:paraId="729228E2" w14:textId="77777777" w:rsidR="00036AF4" w:rsidRPr="00444705" w:rsidRDefault="00036AF4" w:rsidP="00036AF4">
      <w:pPr>
        <w:pStyle w:val="NoSpacing"/>
        <w:jc w:val="center"/>
        <w:rPr>
          <w:rFonts w:ascii="Garamond" w:eastAsia="Arial Unicode MS" w:hAnsi="Garamond" w:cs="Arial Unicode MS"/>
          <w:sz w:val="22"/>
          <w:szCs w:val="22"/>
          <w:lang w:val="en-US"/>
        </w:rPr>
      </w:pPr>
    </w:p>
    <w:p w14:paraId="2D8DA4F1" w14:textId="77777777" w:rsidR="009674DD" w:rsidRDefault="009674DD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9674DD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Department of Political Science and International Relations, University of Geneva</w:t>
      </w:r>
    </w:p>
    <w:p w14:paraId="7177BCE8" w14:textId="77777777" w:rsidR="009674DD" w:rsidRDefault="009674DD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4EC88BC3" w14:textId="42B784BA" w:rsidR="009674DD" w:rsidRDefault="00E138EB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M4020</w:t>
      </w:r>
      <w:r w:rsidR="009674DD" w:rsidRPr="009674DD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, Uni-Mail</w:t>
      </w:r>
    </w:p>
    <w:p w14:paraId="0AFF7F4D" w14:textId="77777777" w:rsidR="009674DD" w:rsidRDefault="009674DD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61166F3F" w14:textId="2B694751" w:rsidR="00BB32C4" w:rsidRDefault="00C6281A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B02F93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Thursday 14 November</w:t>
      </w:r>
    </w:p>
    <w:p w14:paraId="54B85C70" w14:textId="77777777" w:rsidR="00C6281A" w:rsidRDefault="00C6281A" w:rsidP="00E11A4B">
      <w:pPr>
        <w:pStyle w:val="NoSpacing"/>
        <w:jc w:val="center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45F4A3B7" w14:textId="5ADA8465" w:rsidR="00C6281A" w:rsidRDefault="00036AF4" w:rsidP="00C6281A">
      <w:pPr>
        <w:pStyle w:val="NoSpacing"/>
        <w:jc w:val="both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This roundtable </w:t>
      </w: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bring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s</w:t>
      </w: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together 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international </w:t>
      </w: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scholars in the field of practical philosophy and normative political theory to</w:t>
      </w:r>
      <w:r w:rsidRPr="00B85954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explore issue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s</w:t>
      </w:r>
      <w:r w:rsidRPr="00B85954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of trust </w:t>
      </w:r>
      <w:r w:rsidRPr="00C6281A">
        <w:rPr>
          <w:rFonts w:ascii="Garamond" w:eastAsia="Arial Unicode MS" w:hAnsi="Garamond" w:cs="Arial Unicode MS"/>
          <w:i/>
          <w:iCs/>
          <w:color w:val="000000"/>
          <w:sz w:val="22"/>
          <w:szCs w:val="22"/>
          <w:lang w:val="en-US"/>
        </w:rPr>
        <w:t>in</w:t>
      </w:r>
      <w:r w:rsidRPr="00B85954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public institutions.</w:t>
      </w: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Issues will be discussed in the sense of a twofold exploration of public trust </w:t>
      </w:r>
      <w:r w:rsidR="00C6281A" w:rsidRPr="00C6281A">
        <w:rPr>
          <w:rFonts w:ascii="Garamond" w:eastAsia="Arial Unicode MS" w:hAnsi="Garamond" w:cs="Arial Unicode MS"/>
          <w:i/>
          <w:iCs/>
          <w:color w:val="000000"/>
          <w:sz w:val="22"/>
          <w:szCs w:val="22"/>
          <w:lang w:val="en-US"/>
        </w:rPr>
        <w:t>towards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institutions and trust relations among officeholders </w:t>
      </w:r>
      <w:r w:rsidR="00C6281A" w:rsidRPr="00C6281A">
        <w:rPr>
          <w:rFonts w:ascii="Garamond" w:eastAsia="Arial Unicode MS" w:hAnsi="Garamond" w:cs="Arial Unicode MS"/>
          <w:i/>
          <w:iCs/>
          <w:color w:val="000000"/>
          <w:sz w:val="22"/>
          <w:szCs w:val="22"/>
          <w:lang w:val="en-US"/>
        </w:rPr>
        <w:t>within</w:t>
      </w:r>
      <w:r w:rsidR="00C6281A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institutions. Discussions will also address the conceptual and normative relations between institutional trustworthiness and trust in institutions.</w:t>
      </w:r>
    </w:p>
    <w:p w14:paraId="4AFE78B9" w14:textId="77777777" w:rsidR="00C6281A" w:rsidRPr="00C6281A" w:rsidRDefault="00C6281A" w:rsidP="00036AF4">
      <w:pPr>
        <w:pStyle w:val="NoSpacing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51E1B2F9" w14:textId="0EB41AA9" w:rsidR="00036AF4" w:rsidRPr="00735ECC" w:rsidRDefault="00C6281A" w:rsidP="00036AF4">
      <w:pPr>
        <w:pStyle w:val="NoSpacing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Roundtable participants will offer their insights on one or more of the following key questions</w:t>
      </w:r>
      <w:r w:rsidR="00036AF4"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:</w:t>
      </w:r>
    </w:p>
    <w:p w14:paraId="5A9BCDED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How can we best conceptualize trust to understand the erosion of public trust in democratic institutions?</w:t>
      </w:r>
    </w:p>
    <w:p w14:paraId="2637E447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What forms of political participation could foster greater citizen engagement and trust in politics?</w:t>
      </w:r>
    </w:p>
    <w:p w14:paraId="493D2FD7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How can we design the relationship between political decision-makers, expert advisers, and the public to build and maintain trust?</w:t>
      </w:r>
    </w:p>
    <w:p w14:paraId="4B611FD9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What is the relationship between epistemic trust and public trust, and how do they interact?</w:t>
      </w:r>
    </w:p>
    <w:p w14:paraId="680FB261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How should public trust be related to the actual trustworthiness of institutions?</w:t>
      </w:r>
    </w:p>
    <w:p w14:paraId="3D3B1851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Does the rise of AI-technologies challenge our understanding of what makes institutional actions trustworthy?</w:t>
      </w:r>
    </w:p>
    <w:p w14:paraId="1F20B68A" w14:textId="77777777" w:rsidR="00036AF4" w:rsidRDefault="00036AF4" w:rsidP="00036AF4">
      <w:pPr>
        <w:pStyle w:val="NoSpacing"/>
        <w:numPr>
          <w:ilvl w:val="0"/>
          <w:numId w:val="1"/>
        </w:numP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What role should the media play in shaping public perceptions of trust and accountability in institutions?</w:t>
      </w:r>
    </w:p>
    <w:p w14:paraId="1764774E" w14:textId="77777777" w:rsidR="00C6281A" w:rsidRPr="00735ECC" w:rsidRDefault="00C6281A" w:rsidP="00C6281A">
      <w:pPr>
        <w:pStyle w:val="NoSpacing"/>
        <w:ind w:left="720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4507A12D" w14:textId="30EC2E86" w:rsidR="00036AF4" w:rsidRPr="00735ECC" w:rsidRDefault="00C6281A" w:rsidP="00036AF4">
      <w:pPr>
        <w:pStyle w:val="NoSpacing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An </w:t>
      </w:r>
      <w:r w:rsidR="00036AF4" w:rsidRPr="00B85954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open-floor </w:t>
      </w:r>
      <w:r w:rsidR="00036AF4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discussion</w:t>
      </w:r>
      <w:r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will follow</w:t>
      </w:r>
      <w:r w:rsidR="00036AF4" w:rsidRPr="00735ECC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.</w:t>
      </w:r>
    </w:p>
    <w:p w14:paraId="34B6A7EB" w14:textId="77777777" w:rsidR="00BB32C4" w:rsidRPr="00444705" w:rsidRDefault="00BB32C4" w:rsidP="009F71CD">
      <w:pPr>
        <w:pStyle w:val="NoSpacing"/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</w:pPr>
    </w:p>
    <w:p w14:paraId="5E54A8A7" w14:textId="77777777" w:rsidR="009F71CD" w:rsidRPr="00444705" w:rsidRDefault="00BB32C4" w:rsidP="009F71CD">
      <w:pPr>
        <w:pStyle w:val="NoSpacing"/>
        <w:spacing w:after="120"/>
        <w:rPr>
          <w:rFonts w:ascii="Garamond" w:eastAsia="Arial Unicode MS" w:hAnsi="Garamond" w:cs="Arial Unicode MS"/>
          <w:b/>
          <w:sz w:val="22"/>
          <w:szCs w:val="22"/>
          <w:lang w:val="en-US"/>
        </w:rPr>
      </w:pPr>
      <w:r w:rsidRPr="00444705">
        <w:rPr>
          <w:rFonts w:ascii="Garamond" w:eastAsia="Arial Unicode MS" w:hAnsi="Garamond" w:cs="Arial Unicode MS"/>
          <w:b/>
          <w:sz w:val="22"/>
          <w:szCs w:val="22"/>
          <w:lang w:val="en-US"/>
        </w:rPr>
        <w:t>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F0CFC" w:rsidRPr="009C2F3A" w14:paraId="31FF392D" w14:textId="77777777" w:rsidTr="00AF0CFC">
        <w:tc>
          <w:tcPr>
            <w:tcW w:w="9622" w:type="dxa"/>
            <w:shd w:val="clear" w:color="auto" w:fill="auto"/>
          </w:tcPr>
          <w:p w14:paraId="618E7A85" w14:textId="6A0CE3E5" w:rsidR="00AF0CFC" w:rsidRPr="009C2F3A" w:rsidRDefault="00B02F93" w:rsidP="009674DD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i/>
                <w:iCs/>
                <w:sz w:val="22"/>
                <w:szCs w:val="22"/>
              </w:rPr>
            </w:pPr>
            <w:r>
              <w:rPr>
                <w:rFonts w:ascii="Garamond" w:eastAsia="Arial Unicode MS" w:hAnsi="Garamond" w:cs="Arial Unicode MS"/>
                <w:sz w:val="22"/>
                <w:szCs w:val="22"/>
              </w:rPr>
              <w:t xml:space="preserve">14:30 </w:t>
            </w:r>
            <w:r w:rsidR="009674DD" w:rsidRPr="009674DD">
              <w:rPr>
                <w:rFonts w:ascii="Garamond" w:eastAsia="Arial Unicode MS" w:hAnsi="Garamond" w:cs="Arial Unicode MS"/>
                <w:sz w:val="22"/>
                <w:szCs w:val="22"/>
              </w:rPr>
              <w:t xml:space="preserve">Welcome address </w:t>
            </w:r>
          </w:p>
        </w:tc>
      </w:tr>
      <w:tr w:rsidR="009F71CD" w:rsidRPr="00AB5E0D" w14:paraId="3E77BB6B" w14:textId="77777777" w:rsidTr="009F71CD">
        <w:tc>
          <w:tcPr>
            <w:tcW w:w="9622" w:type="dxa"/>
          </w:tcPr>
          <w:p w14:paraId="2B4F6FC9" w14:textId="19C71767" w:rsidR="00C6281A" w:rsidRPr="00E138EB" w:rsidRDefault="00B02F93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 xml:space="preserve">15:00 – 16:30 </w:t>
            </w:r>
            <w:r w:rsidR="00C6281A"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Roundtable discussion</w:t>
            </w:r>
          </w:p>
          <w:p w14:paraId="50A3604F" w14:textId="77777777" w:rsidR="009F71CD" w:rsidRPr="00E138EB" w:rsidRDefault="00D64A3E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Carla Bagnoli (Università di Modena e Reggio Emilia)</w:t>
            </w:r>
          </w:p>
          <w:p w14:paraId="797A9AA7" w14:textId="303B8459" w:rsidR="00D64A3E" w:rsidRPr="00E138EB" w:rsidRDefault="00D64A3E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Michele Bocchiola (Université de Genève)</w:t>
            </w:r>
          </w:p>
          <w:p w14:paraId="20F86096" w14:textId="2534E67A" w:rsidR="00D64A3E" w:rsidRPr="00E138EB" w:rsidRDefault="00D64A3E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Maria Paola Ferretti (Johannes Gutenberg Universität Mainz)</w:t>
            </w:r>
          </w:p>
          <w:p w14:paraId="609BC012" w14:textId="52245AEA" w:rsidR="00D64A3E" w:rsidRPr="00E138EB" w:rsidRDefault="00D64A3E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Juha Räikkä (University of Turku)</w:t>
            </w:r>
          </w:p>
          <w:p w14:paraId="2B001D7B" w14:textId="28633F51" w:rsidR="00D64A3E" w:rsidRPr="00E138EB" w:rsidRDefault="00D64A3E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fr-FR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fr-FR"/>
              </w:rPr>
              <w:t>Moderator: Emanuela Ceva (Université de Genève</w:t>
            </w:r>
            <w:r w:rsidR="00970F38" w:rsidRPr="00E138EB">
              <w:rPr>
                <w:rFonts w:ascii="Garamond" w:eastAsia="Arial Unicode MS" w:hAnsi="Garamond" w:cs="Arial Unicode MS"/>
                <w:sz w:val="22"/>
                <w:szCs w:val="22"/>
                <w:lang w:val="fr-FR"/>
              </w:rPr>
              <w:t>)</w:t>
            </w:r>
          </w:p>
        </w:tc>
      </w:tr>
      <w:tr w:rsidR="009F71CD" w:rsidRPr="00444705" w14:paraId="35DB193E" w14:textId="77777777" w:rsidTr="009F71CD">
        <w:tc>
          <w:tcPr>
            <w:tcW w:w="9622" w:type="dxa"/>
          </w:tcPr>
          <w:p w14:paraId="56B69766" w14:textId="64826E61" w:rsidR="009F71CD" w:rsidRPr="00444705" w:rsidRDefault="00B02F93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</w:pPr>
            <w:r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  <w:t xml:space="preserve">16:30 – 17 </w:t>
            </w:r>
            <w:r w:rsidR="009674DD"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  <w:t>Break</w:t>
            </w:r>
            <w:r w:rsidR="00D64A3E"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  <w:t xml:space="preserve"> </w:t>
            </w:r>
          </w:p>
        </w:tc>
      </w:tr>
      <w:tr w:rsidR="009F71CD" w:rsidRPr="00AB5E0D" w14:paraId="6D77F0C4" w14:textId="77777777" w:rsidTr="009F71CD">
        <w:tc>
          <w:tcPr>
            <w:tcW w:w="9622" w:type="dxa"/>
          </w:tcPr>
          <w:p w14:paraId="3ACDC00F" w14:textId="49FD3235" w:rsidR="009F71CD" w:rsidRPr="00E138EB" w:rsidRDefault="00B02F93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 xml:space="preserve">17 – 18 </w:t>
            </w:r>
            <w:r w:rsidR="0096785A"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G</w:t>
            </w:r>
            <w:r w:rsidR="009674DD"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eneral discussion</w:t>
            </w:r>
          </w:p>
          <w:p w14:paraId="31643CA9" w14:textId="4D77675C" w:rsidR="00970F38" w:rsidRPr="00E138EB" w:rsidRDefault="00970F38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</w:pPr>
            <w:r w:rsidRPr="00E138EB">
              <w:rPr>
                <w:rFonts w:ascii="Garamond" w:eastAsia="Arial Unicode MS" w:hAnsi="Garamond" w:cs="Arial Unicode MS"/>
                <w:sz w:val="22"/>
                <w:szCs w:val="22"/>
                <w:lang w:val="it-IT"/>
              </w:rPr>
              <w:t>Moderator: Marta Giunta Martino (Université de Genève)</w:t>
            </w:r>
          </w:p>
        </w:tc>
      </w:tr>
      <w:tr w:rsidR="00256B4A" w:rsidRPr="00444705" w14:paraId="4755529A" w14:textId="77777777" w:rsidTr="009F71CD">
        <w:tc>
          <w:tcPr>
            <w:tcW w:w="9622" w:type="dxa"/>
          </w:tcPr>
          <w:p w14:paraId="3B8DBB40" w14:textId="1899E7F7" w:rsidR="00256B4A" w:rsidRPr="00444705" w:rsidRDefault="00B02F93" w:rsidP="00444705">
            <w:pPr>
              <w:pStyle w:val="NoSpacing"/>
              <w:spacing w:line="276" w:lineRule="auto"/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</w:pPr>
            <w:r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  <w:t xml:space="preserve">18 </w:t>
            </w:r>
            <w:r w:rsidR="00256B4A">
              <w:rPr>
                <w:rFonts w:ascii="Garamond" w:eastAsia="Arial Unicode MS" w:hAnsi="Garamond" w:cs="Arial Unicode MS"/>
                <w:sz w:val="22"/>
                <w:szCs w:val="22"/>
                <w:lang w:val="en-US"/>
              </w:rPr>
              <w:t>Closing remarks</w:t>
            </w:r>
          </w:p>
        </w:tc>
      </w:tr>
    </w:tbl>
    <w:p w14:paraId="2B5545E1" w14:textId="77777777" w:rsidR="009F71CD" w:rsidRPr="00444705" w:rsidRDefault="009F71CD" w:rsidP="009F71CD">
      <w:pPr>
        <w:pStyle w:val="NoSpacing"/>
        <w:rPr>
          <w:rFonts w:ascii="Garamond" w:eastAsia="Arial Unicode MS" w:hAnsi="Garamond" w:cs="Arial Unicode MS"/>
          <w:sz w:val="22"/>
          <w:szCs w:val="22"/>
        </w:rPr>
      </w:pPr>
    </w:p>
    <w:p w14:paraId="68270B9F" w14:textId="77777777" w:rsidR="00DB1EAB" w:rsidRDefault="00DB1EAB" w:rsidP="009F71CD">
      <w:pPr>
        <w:pStyle w:val="NoSpacing"/>
        <w:rPr>
          <w:rFonts w:ascii="Garamond" w:eastAsia="Arial Unicode MS" w:hAnsi="Garamond" w:cs="Arial Unicode MS"/>
          <w:sz w:val="22"/>
          <w:szCs w:val="22"/>
          <w:lang w:val="en-US"/>
        </w:rPr>
      </w:pPr>
    </w:p>
    <w:p w14:paraId="01668968" w14:textId="4E1A75D3" w:rsidR="00024F69" w:rsidRPr="00444705" w:rsidRDefault="00DF3758" w:rsidP="009F71CD">
      <w:pPr>
        <w:pStyle w:val="NoSpacing"/>
        <w:rPr>
          <w:rFonts w:ascii="Garamond" w:eastAsia="Arial Unicode MS" w:hAnsi="Garamond" w:cs="Arial Unicode MS"/>
          <w:sz w:val="22"/>
          <w:szCs w:val="22"/>
          <w:lang w:val="en-US"/>
        </w:rPr>
      </w:pP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>This is a</w:t>
      </w:r>
      <w:r w:rsidR="00444705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n in-person </w:t>
      </w:r>
      <w:r w:rsidR="009674DD">
        <w:rPr>
          <w:rFonts w:ascii="Garamond" w:eastAsia="Arial Unicode MS" w:hAnsi="Garamond" w:cs="Arial Unicode MS"/>
          <w:sz w:val="22"/>
          <w:szCs w:val="22"/>
          <w:lang w:val="en-US"/>
        </w:rPr>
        <w:t>event</w:t>
      </w: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>. A</w:t>
      </w:r>
      <w:r w:rsidR="00024F69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ttendance is open but requires registration. To register please send an email to </w:t>
      </w:r>
      <w:hyperlink r:id="rId6" w:history="1">
        <w:r w:rsidR="00024F69" w:rsidRPr="00444705">
          <w:rPr>
            <w:rStyle w:val="Hyperlink"/>
            <w:rFonts w:ascii="Garamond" w:eastAsia="Arial Unicode MS" w:hAnsi="Garamond" w:cs="Arial Unicode MS"/>
            <w:sz w:val="22"/>
            <w:szCs w:val="22"/>
            <w:lang w:val="en-US"/>
          </w:rPr>
          <w:t>Marta.Giunta@unige.ch</w:t>
        </w:r>
      </w:hyperlink>
      <w:r w:rsidR="00024F69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 by </w:t>
      </w:r>
      <w:r w:rsidR="009674DD">
        <w:rPr>
          <w:rFonts w:ascii="Garamond" w:eastAsia="Arial Unicode MS" w:hAnsi="Garamond" w:cs="Arial Unicode MS"/>
          <w:sz w:val="22"/>
          <w:szCs w:val="22"/>
          <w:lang w:val="en-US"/>
        </w:rPr>
        <w:t>1</w:t>
      </w:r>
      <w:r w:rsidR="00024F69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 </w:t>
      </w:r>
      <w:r w:rsidR="009674DD">
        <w:rPr>
          <w:rFonts w:ascii="Garamond" w:eastAsia="Arial Unicode MS" w:hAnsi="Garamond" w:cs="Arial Unicode MS"/>
          <w:sz w:val="22"/>
          <w:szCs w:val="22"/>
          <w:lang w:val="en-US"/>
        </w:rPr>
        <w:t>November</w:t>
      </w:r>
      <w:r w:rsidR="00024F69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 202</w:t>
      </w:r>
      <w:r w:rsidR="00444705" w:rsidRPr="00444705">
        <w:rPr>
          <w:rFonts w:ascii="Garamond" w:eastAsia="Arial Unicode MS" w:hAnsi="Garamond" w:cs="Arial Unicode MS"/>
          <w:sz w:val="22"/>
          <w:szCs w:val="22"/>
          <w:lang w:val="en-US"/>
        </w:rPr>
        <w:t>4</w:t>
      </w:r>
      <w:r w:rsidR="00024F69"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. </w:t>
      </w:r>
    </w:p>
    <w:p w14:paraId="55B204E4" w14:textId="77777777" w:rsidR="00024F69" w:rsidRPr="00444705" w:rsidRDefault="00024F69" w:rsidP="009F71CD">
      <w:pPr>
        <w:pStyle w:val="NoSpacing"/>
        <w:rPr>
          <w:rFonts w:ascii="Garamond" w:eastAsia="Arial Unicode MS" w:hAnsi="Garamond" w:cs="Arial Unicode MS"/>
          <w:sz w:val="22"/>
          <w:szCs w:val="22"/>
          <w:lang w:val="en-US"/>
        </w:rPr>
      </w:pPr>
    </w:p>
    <w:p w14:paraId="7411BB59" w14:textId="0ABF7110" w:rsidR="00F74999" w:rsidRPr="00444705" w:rsidRDefault="00BB32C4" w:rsidP="00F74999">
      <w:pPr>
        <w:pStyle w:val="NoSpacing"/>
        <w:rPr>
          <w:rFonts w:ascii="Garamond" w:eastAsia="Arial Unicode MS" w:hAnsi="Garamond" w:cs="Arial Unicode MS"/>
          <w:sz w:val="22"/>
          <w:szCs w:val="22"/>
          <w:lang w:val="en-US"/>
        </w:rPr>
      </w:pP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This </w:t>
      </w:r>
      <w:r w:rsidR="009674DD">
        <w:rPr>
          <w:rFonts w:ascii="Garamond" w:eastAsia="Arial Unicode MS" w:hAnsi="Garamond" w:cs="Arial Unicode MS"/>
          <w:sz w:val="22"/>
          <w:szCs w:val="22"/>
          <w:lang w:val="en-US"/>
        </w:rPr>
        <w:t>event</w:t>
      </w:r>
      <w:r w:rsidRPr="00444705">
        <w:rPr>
          <w:rFonts w:ascii="Garamond" w:eastAsia="Arial Unicode MS" w:hAnsi="Garamond" w:cs="Arial Unicode MS"/>
          <w:sz w:val="22"/>
          <w:szCs w:val="22"/>
          <w:lang w:val="en-US"/>
        </w:rPr>
        <w:t xml:space="preserve"> is part of the activities of the research project “EnTrust</w:t>
      </w:r>
      <w:r w:rsidR="009F71CD" w:rsidRPr="00444705">
        <w:rPr>
          <w:rFonts w:ascii="Garamond" w:eastAsia="Arial Unicode MS" w:hAnsi="Garamond" w:cs="Arial Unicode MS"/>
          <w:sz w:val="22"/>
          <w:szCs w:val="22"/>
          <w:lang w:val="en-US"/>
        </w:rPr>
        <w:t>—E</w:t>
      </w:r>
      <w:r w:rsidRPr="00444705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>ndogenous Institutional Trustworthiness” funded by the Swiss National Science Foundation (Division 1).</w:t>
      </w:r>
      <w:r w:rsidR="00024F69" w:rsidRPr="00444705">
        <w:rPr>
          <w:rFonts w:ascii="Garamond" w:eastAsia="Arial Unicode MS" w:hAnsi="Garamond" w:cs="Arial Unicode MS"/>
          <w:color w:val="000000"/>
          <w:sz w:val="22"/>
          <w:szCs w:val="22"/>
          <w:lang w:val="en-US"/>
        </w:rPr>
        <w:t xml:space="preserve"> For further information, visit the </w:t>
      </w:r>
      <w:hyperlink r:id="rId7" w:history="1">
        <w:r w:rsidR="00024F69" w:rsidRPr="00444705">
          <w:rPr>
            <w:rStyle w:val="Hyperlink"/>
            <w:rFonts w:ascii="Garamond" w:eastAsia="Arial Unicode MS" w:hAnsi="Garamond" w:cs="Arial Unicode MS"/>
            <w:sz w:val="22"/>
            <w:szCs w:val="22"/>
            <w:lang w:val="en-US"/>
          </w:rPr>
          <w:t>EnTrust project’s website</w:t>
        </w:r>
      </w:hyperlink>
      <w:r w:rsidR="002D1D86" w:rsidRPr="00444705">
        <w:rPr>
          <w:rFonts w:ascii="Garamond" w:eastAsia="Arial Unicode MS" w:hAnsi="Garamond" w:cs="Arial Unicode MS"/>
          <w:sz w:val="22"/>
          <w:szCs w:val="22"/>
          <w:lang w:val="en-US"/>
        </w:rPr>
        <w:t>.</w:t>
      </w:r>
    </w:p>
    <w:sectPr w:rsidR="00F74999" w:rsidRPr="00444705" w:rsidSect="009A1B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92356"/>
    <w:multiLevelType w:val="hybridMultilevel"/>
    <w:tmpl w:val="1C10FFE6"/>
    <w:lvl w:ilvl="0" w:tplc="8E1A053C"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5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tDA0MTI0sDQwNDdS0lEKTi0uzszPAykwMq0FANTkr2YtAAAA"/>
  </w:docVars>
  <w:rsids>
    <w:rsidRoot w:val="00BB32C4"/>
    <w:rsid w:val="00024F69"/>
    <w:rsid w:val="00036AF4"/>
    <w:rsid w:val="00065F44"/>
    <w:rsid w:val="00071C02"/>
    <w:rsid w:val="000743D6"/>
    <w:rsid w:val="000765B1"/>
    <w:rsid w:val="000A3288"/>
    <w:rsid w:val="000B2A37"/>
    <w:rsid w:val="000E4F03"/>
    <w:rsid w:val="000F6171"/>
    <w:rsid w:val="00101B44"/>
    <w:rsid w:val="00103F9B"/>
    <w:rsid w:val="001201AC"/>
    <w:rsid w:val="00124D13"/>
    <w:rsid w:val="00161A31"/>
    <w:rsid w:val="001A2FDD"/>
    <w:rsid w:val="001F4B1F"/>
    <w:rsid w:val="002170C9"/>
    <w:rsid w:val="002456BA"/>
    <w:rsid w:val="00256B4A"/>
    <w:rsid w:val="002621DA"/>
    <w:rsid w:val="00270B34"/>
    <w:rsid w:val="002712B6"/>
    <w:rsid w:val="002C1E86"/>
    <w:rsid w:val="002C2EAB"/>
    <w:rsid w:val="002D1D86"/>
    <w:rsid w:val="002D5CF4"/>
    <w:rsid w:val="002F26AF"/>
    <w:rsid w:val="00321A72"/>
    <w:rsid w:val="0032351E"/>
    <w:rsid w:val="0033200D"/>
    <w:rsid w:val="003507CA"/>
    <w:rsid w:val="00353DD9"/>
    <w:rsid w:val="00356957"/>
    <w:rsid w:val="003603FA"/>
    <w:rsid w:val="003A579C"/>
    <w:rsid w:val="003A5C0D"/>
    <w:rsid w:val="003D278B"/>
    <w:rsid w:val="00444705"/>
    <w:rsid w:val="004515A7"/>
    <w:rsid w:val="004B454A"/>
    <w:rsid w:val="004B5AF8"/>
    <w:rsid w:val="00526AF7"/>
    <w:rsid w:val="005A752C"/>
    <w:rsid w:val="005D6F55"/>
    <w:rsid w:val="00603736"/>
    <w:rsid w:val="00657986"/>
    <w:rsid w:val="006958B1"/>
    <w:rsid w:val="006B5841"/>
    <w:rsid w:val="006C78E7"/>
    <w:rsid w:val="006F4D21"/>
    <w:rsid w:val="00706365"/>
    <w:rsid w:val="00715CEE"/>
    <w:rsid w:val="007567FF"/>
    <w:rsid w:val="007E5590"/>
    <w:rsid w:val="008D0D49"/>
    <w:rsid w:val="00904896"/>
    <w:rsid w:val="009674DD"/>
    <w:rsid w:val="0096785A"/>
    <w:rsid w:val="00970F38"/>
    <w:rsid w:val="009A1B54"/>
    <w:rsid w:val="009C2170"/>
    <w:rsid w:val="009C2F3A"/>
    <w:rsid w:val="009C5EC5"/>
    <w:rsid w:val="009F71CD"/>
    <w:rsid w:val="00A03232"/>
    <w:rsid w:val="00A40B59"/>
    <w:rsid w:val="00A67FD2"/>
    <w:rsid w:val="00A95C38"/>
    <w:rsid w:val="00AB5E0D"/>
    <w:rsid w:val="00AC7F7D"/>
    <w:rsid w:val="00AD29D2"/>
    <w:rsid w:val="00AE401C"/>
    <w:rsid w:val="00AF0CFC"/>
    <w:rsid w:val="00AF5D80"/>
    <w:rsid w:val="00AF6F5E"/>
    <w:rsid w:val="00B02F93"/>
    <w:rsid w:val="00B50937"/>
    <w:rsid w:val="00B64AD0"/>
    <w:rsid w:val="00BA7C50"/>
    <w:rsid w:val="00BB32C4"/>
    <w:rsid w:val="00C12BA1"/>
    <w:rsid w:val="00C139F5"/>
    <w:rsid w:val="00C16B3F"/>
    <w:rsid w:val="00C16C41"/>
    <w:rsid w:val="00C33727"/>
    <w:rsid w:val="00C6281A"/>
    <w:rsid w:val="00C75E3D"/>
    <w:rsid w:val="00CE4BCC"/>
    <w:rsid w:val="00D04012"/>
    <w:rsid w:val="00D23601"/>
    <w:rsid w:val="00D64A3E"/>
    <w:rsid w:val="00D67AF5"/>
    <w:rsid w:val="00DB1EAB"/>
    <w:rsid w:val="00DD0F97"/>
    <w:rsid w:val="00DF3758"/>
    <w:rsid w:val="00E0778C"/>
    <w:rsid w:val="00E11A4B"/>
    <w:rsid w:val="00E138EB"/>
    <w:rsid w:val="00E46970"/>
    <w:rsid w:val="00E66818"/>
    <w:rsid w:val="00E7372A"/>
    <w:rsid w:val="00E908C7"/>
    <w:rsid w:val="00E90C04"/>
    <w:rsid w:val="00F041CC"/>
    <w:rsid w:val="00F17FB5"/>
    <w:rsid w:val="00F217DD"/>
    <w:rsid w:val="00F302CA"/>
    <w:rsid w:val="00F668DD"/>
    <w:rsid w:val="00F74999"/>
    <w:rsid w:val="00FD20BE"/>
    <w:rsid w:val="00FE12B0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A0B9"/>
  <w15:docId w15:val="{8D469AA9-1FE2-4898-8EAC-27D80495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32C4"/>
  </w:style>
  <w:style w:type="character" w:styleId="Emphasis">
    <w:name w:val="Emphasis"/>
    <w:basedOn w:val="DefaultParagraphFont"/>
    <w:uiPriority w:val="20"/>
    <w:qFormat/>
    <w:rsid w:val="00BB32C4"/>
    <w:rPr>
      <w:i/>
      <w:iCs/>
    </w:rPr>
  </w:style>
  <w:style w:type="character" w:styleId="Hyperlink">
    <w:name w:val="Hyperlink"/>
    <w:basedOn w:val="DefaultParagraphFont"/>
    <w:uiPriority w:val="99"/>
    <w:unhideWhenUsed/>
    <w:rsid w:val="00024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24F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71CD"/>
  </w:style>
  <w:style w:type="table" w:styleId="TableGrid">
    <w:name w:val="Table Grid"/>
    <w:basedOn w:val="TableNormal"/>
    <w:uiPriority w:val="39"/>
    <w:rsid w:val="009F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ge.ch/entru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Giunta@etu.unige.ch" TargetMode="External"/><Relationship Id="rId5" Type="http://schemas.openxmlformats.org/officeDocument/2006/relationships/hyperlink" Target="https://www.unige.ch/entru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CEVA</dc:creator>
  <cp:keywords/>
  <dc:description/>
  <cp:lastModifiedBy>Marta Martino</cp:lastModifiedBy>
  <cp:revision>5</cp:revision>
  <cp:lastPrinted>2022-03-16T16:42:00Z</cp:lastPrinted>
  <dcterms:created xsi:type="dcterms:W3CDTF">2024-10-08T08:32:00Z</dcterms:created>
  <dcterms:modified xsi:type="dcterms:W3CDTF">2024-10-10T13:03:00Z</dcterms:modified>
</cp:coreProperties>
</file>