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1503" w14:textId="77777777" w:rsidR="0017745A" w:rsidRDefault="0017745A">
      <w:pPr>
        <w:rPr>
          <w:b/>
        </w:rPr>
      </w:pPr>
      <w:bookmarkStart w:id="0" w:name="_GoBack"/>
      <w:bookmarkEnd w:id="0"/>
      <w:r>
        <w:rPr>
          <w:b/>
        </w:rPr>
        <w:t>John Didier</w:t>
      </w:r>
    </w:p>
    <w:p w14:paraId="7D580F1E" w14:textId="77777777" w:rsidR="0017745A" w:rsidRDefault="0017745A">
      <w:pPr>
        <w:rPr>
          <w:b/>
        </w:rPr>
      </w:pPr>
    </w:p>
    <w:p w14:paraId="3648FBFE" w14:textId="77777777" w:rsidR="0017745A" w:rsidRDefault="00AE20A3">
      <w:pPr>
        <w:rPr>
          <w:b/>
        </w:rPr>
      </w:pPr>
      <w:r w:rsidRPr="00AE20A3">
        <w:rPr>
          <w:b/>
        </w:rPr>
        <w:t xml:space="preserve">Communication </w:t>
      </w:r>
      <w:r>
        <w:rPr>
          <w:b/>
        </w:rPr>
        <w:t>pour la Journée</w:t>
      </w:r>
      <w:r w:rsidRPr="001C5D1E">
        <w:rPr>
          <w:b/>
        </w:rPr>
        <w:t xml:space="preserve"> d’étude en didactique des arts</w:t>
      </w:r>
      <w:r w:rsidRPr="001C5D1E">
        <w:rPr>
          <w:b/>
        </w:rPr>
        <w:tab/>
      </w:r>
    </w:p>
    <w:p w14:paraId="28F8101F" w14:textId="77777777" w:rsidR="00FA2D25" w:rsidRDefault="0017745A">
      <w:r>
        <w:rPr>
          <w:b/>
        </w:rPr>
        <w:t>Recherche DAM FAPSE Genève</w:t>
      </w:r>
      <w:r w:rsidR="00AE20A3" w:rsidRPr="001C5D1E">
        <w:rPr>
          <w:b/>
        </w:rPr>
        <w:tab/>
      </w:r>
    </w:p>
    <w:p w14:paraId="4F8F4EBA" w14:textId="77777777" w:rsidR="00AE20A3" w:rsidRDefault="00AE20A3"/>
    <w:p w14:paraId="07E8F273" w14:textId="77777777" w:rsidR="00BF62C8" w:rsidRDefault="00BF62C8" w:rsidP="00AE20A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Titre de la communication : </w:t>
      </w:r>
    </w:p>
    <w:p w14:paraId="47CC0AC3" w14:textId="0EA9ED30" w:rsidR="0017745A" w:rsidRPr="00BF62C8" w:rsidRDefault="00BF62C8" w:rsidP="00AE20A3">
      <w:pPr>
        <w:spacing w:line="360" w:lineRule="auto"/>
        <w:rPr>
          <w:b/>
          <w:sz w:val="20"/>
          <w:szCs w:val="20"/>
        </w:rPr>
      </w:pPr>
      <w:r w:rsidRPr="00BF62C8">
        <w:rPr>
          <w:b/>
          <w:sz w:val="20"/>
          <w:szCs w:val="20"/>
        </w:rPr>
        <w:t>Conception et innovation dans le cadre de l’enseignement des  activités créatrices et manuelles</w:t>
      </w:r>
    </w:p>
    <w:p w14:paraId="2F547877" w14:textId="77777777" w:rsidR="00BF62C8" w:rsidRDefault="00BF62C8" w:rsidP="00AE20A3">
      <w:pPr>
        <w:spacing w:line="360" w:lineRule="auto"/>
        <w:rPr>
          <w:sz w:val="20"/>
          <w:szCs w:val="20"/>
        </w:rPr>
      </w:pPr>
    </w:p>
    <w:p w14:paraId="79C5C8D5" w14:textId="4D6BCFDE" w:rsidR="00AE20A3" w:rsidRPr="006B0F4F" w:rsidRDefault="00AE20A3" w:rsidP="002E741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Cette communication propose de présenter une recherche en cours</w:t>
      </w:r>
      <w:r w:rsidR="002E7415">
        <w:rPr>
          <w:sz w:val="20"/>
          <w:szCs w:val="20"/>
        </w:rPr>
        <w:t xml:space="preserve">, </w:t>
      </w:r>
      <w:r>
        <w:rPr>
          <w:sz w:val="20"/>
          <w:szCs w:val="20"/>
        </w:rPr>
        <w:t>qui</w:t>
      </w:r>
      <w:r w:rsidRPr="006B0F4F">
        <w:rPr>
          <w:sz w:val="20"/>
          <w:szCs w:val="20"/>
        </w:rPr>
        <w:t xml:space="preserve"> </w:t>
      </w:r>
      <w:r>
        <w:rPr>
          <w:sz w:val="20"/>
          <w:szCs w:val="20"/>
        </w:rPr>
        <w:t>évalue la pertinence d’une démarche didactique dans le contexte</w:t>
      </w:r>
      <w:r w:rsidRPr="006B0F4F">
        <w:rPr>
          <w:sz w:val="20"/>
          <w:szCs w:val="20"/>
        </w:rPr>
        <w:t xml:space="preserve"> d’une approche technologique de l’enseig</w:t>
      </w:r>
      <w:r>
        <w:rPr>
          <w:sz w:val="20"/>
          <w:szCs w:val="20"/>
        </w:rPr>
        <w:t>nement des activités cr</w:t>
      </w:r>
      <w:r w:rsidR="005D0E31">
        <w:rPr>
          <w:sz w:val="20"/>
          <w:szCs w:val="20"/>
        </w:rPr>
        <w:t>éatrices (Didier et Leuba, 2011 ;</w:t>
      </w:r>
      <w:r>
        <w:rPr>
          <w:sz w:val="20"/>
          <w:szCs w:val="20"/>
        </w:rPr>
        <w:t xml:space="preserve"> Didier, 2012). Cette recherche s’inscrit </w:t>
      </w:r>
      <w:r w:rsidRPr="006B0F4F">
        <w:rPr>
          <w:sz w:val="20"/>
          <w:szCs w:val="20"/>
        </w:rPr>
        <w:t>dans le cadre de la formation de futurs enseignants généralistes du cycle 1 et du cycle 2 à la HEP Vaud. Nous focalisons notre approche  sur l’analyse didactique permettant d’identifier et de spécifier les différents apprentissages développés dans toute production d’objets. Dans le cadre de l’enseignement</w:t>
      </w:r>
      <w:r w:rsidR="005D0E31">
        <w:rPr>
          <w:sz w:val="20"/>
          <w:szCs w:val="20"/>
        </w:rPr>
        <w:t>,</w:t>
      </w:r>
      <w:r w:rsidRPr="006B0F4F">
        <w:rPr>
          <w:sz w:val="20"/>
          <w:szCs w:val="20"/>
        </w:rPr>
        <w:t xml:space="preserve"> nous spécifions notre problématique en mettant l’accent sur l’activité de conception en tant que facteur clef induisant un changement de paradi</w:t>
      </w:r>
      <w:r w:rsidR="002E7415">
        <w:rPr>
          <w:sz w:val="20"/>
          <w:szCs w:val="20"/>
        </w:rPr>
        <w:t>g</w:t>
      </w:r>
      <w:r w:rsidRPr="006B0F4F">
        <w:rPr>
          <w:sz w:val="20"/>
          <w:szCs w:val="20"/>
        </w:rPr>
        <w:t>me discplinaire qui permet de passer de l’élève</w:t>
      </w:r>
      <w:r w:rsidR="002E7415">
        <w:rPr>
          <w:sz w:val="20"/>
          <w:szCs w:val="20"/>
        </w:rPr>
        <w:t xml:space="preserve"> exécutant vers la posture d’</w:t>
      </w:r>
      <w:r w:rsidRPr="006B0F4F">
        <w:rPr>
          <w:sz w:val="20"/>
          <w:szCs w:val="20"/>
        </w:rPr>
        <w:t>élève ingénieur-concepteur.</w:t>
      </w:r>
    </w:p>
    <w:p w14:paraId="33B68618" w14:textId="7D43F1B6" w:rsidR="00AE20A3" w:rsidRDefault="00AE20A3" w:rsidP="002E7415">
      <w:pPr>
        <w:spacing w:line="360" w:lineRule="auto"/>
        <w:jc w:val="both"/>
        <w:rPr>
          <w:sz w:val="20"/>
          <w:szCs w:val="20"/>
        </w:rPr>
      </w:pPr>
      <w:r w:rsidRPr="006B0F4F">
        <w:rPr>
          <w:sz w:val="20"/>
          <w:szCs w:val="20"/>
        </w:rPr>
        <w:t xml:space="preserve">Dans le but </w:t>
      </w:r>
      <w:r w:rsidR="005D0E31">
        <w:rPr>
          <w:sz w:val="20"/>
          <w:szCs w:val="20"/>
        </w:rPr>
        <w:t>d’éprouver la validité</w:t>
      </w:r>
      <w:r w:rsidRPr="006B0F4F">
        <w:rPr>
          <w:sz w:val="20"/>
          <w:szCs w:val="20"/>
        </w:rPr>
        <w:t xml:space="preserve"> de notre approche didactique, nous concentrons notre analyse sur les gestes enseignants et leur impact sur l’apprentissage des élèves </w:t>
      </w:r>
      <w:r w:rsidR="00BF6D26">
        <w:rPr>
          <w:sz w:val="20"/>
          <w:szCs w:val="20"/>
        </w:rPr>
        <w:t>lors</w:t>
      </w:r>
      <w:r w:rsidR="005D0E31">
        <w:rPr>
          <w:sz w:val="20"/>
          <w:szCs w:val="20"/>
        </w:rPr>
        <w:t xml:space="preserve"> de la conduite </w:t>
      </w:r>
      <w:r>
        <w:rPr>
          <w:sz w:val="20"/>
          <w:szCs w:val="20"/>
        </w:rPr>
        <w:t>d</w:t>
      </w:r>
      <w:r w:rsidRPr="006B0F4F">
        <w:rPr>
          <w:sz w:val="20"/>
          <w:szCs w:val="20"/>
        </w:rPr>
        <w:t>’activité</w:t>
      </w:r>
      <w:r>
        <w:rPr>
          <w:sz w:val="20"/>
          <w:szCs w:val="20"/>
        </w:rPr>
        <w:t>s</w:t>
      </w:r>
      <w:r w:rsidRPr="006B0F4F">
        <w:rPr>
          <w:sz w:val="20"/>
          <w:szCs w:val="20"/>
        </w:rPr>
        <w:t xml:space="preserve"> de conception</w:t>
      </w:r>
      <w:r w:rsidR="005D0E31">
        <w:rPr>
          <w:sz w:val="20"/>
          <w:szCs w:val="20"/>
        </w:rPr>
        <w:t xml:space="preserve"> </w:t>
      </w:r>
      <w:r w:rsidR="00EA7252">
        <w:rPr>
          <w:sz w:val="20"/>
          <w:szCs w:val="20"/>
        </w:rPr>
        <w:t>en activités créatrices</w:t>
      </w:r>
      <w:r w:rsidR="00BF6D26">
        <w:rPr>
          <w:sz w:val="20"/>
          <w:szCs w:val="20"/>
        </w:rPr>
        <w:t xml:space="preserve"> et manuelles</w:t>
      </w:r>
      <w:r w:rsidRPr="006B0F4F">
        <w:rPr>
          <w:sz w:val="20"/>
          <w:szCs w:val="20"/>
        </w:rPr>
        <w:t>.</w:t>
      </w:r>
    </w:p>
    <w:p w14:paraId="7C432427" w14:textId="77777777" w:rsidR="0017745A" w:rsidRPr="006B0F4F" w:rsidRDefault="0017745A" w:rsidP="00AE20A3">
      <w:pPr>
        <w:spacing w:line="360" w:lineRule="auto"/>
        <w:rPr>
          <w:sz w:val="20"/>
          <w:szCs w:val="20"/>
        </w:rPr>
      </w:pPr>
    </w:p>
    <w:p w14:paraId="36CED96A" w14:textId="77777777" w:rsidR="0017745A" w:rsidRDefault="0017745A" w:rsidP="00AE20A3">
      <w:pPr>
        <w:spacing w:line="360" w:lineRule="auto"/>
        <w:rPr>
          <w:sz w:val="20"/>
          <w:szCs w:val="20"/>
        </w:rPr>
      </w:pPr>
    </w:p>
    <w:p w14:paraId="38778B0E" w14:textId="77777777" w:rsidR="0017745A" w:rsidRPr="00CC1EF2" w:rsidRDefault="0017745A" w:rsidP="00AE20A3">
      <w:pPr>
        <w:spacing w:line="360" w:lineRule="auto"/>
        <w:rPr>
          <w:b/>
          <w:sz w:val="20"/>
          <w:szCs w:val="20"/>
        </w:rPr>
      </w:pPr>
      <w:r w:rsidRPr="00CC1EF2">
        <w:rPr>
          <w:b/>
          <w:sz w:val="20"/>
          <w:szCs w:val="20"/>
        </w:rPr>
        <w:t>Références :</w:t>
      </w:r>
    </w:p>
    <w:p w14:paraId="5D1E5FDE" w14:textId="77777777" w:rsidR="0017745A" w:rsidRDefault="0017745A" w:rsidP="00AE20A3">
      <w:pPr>
        <w:spacing w:line="360" w:lineRule="auto"/>
      </w:pPr>
    </w:p>
    <w:p w14:paraId="49D4A1A9" w14:textId="77777777" w:rsidR="00D56880" w:rsidRPr="006B0F4F" w:rsidRDefault="00D56880" w:rsidP="00D56880">
      <w:pPr>
        <w:spacing w:line="360" w:lineRule="auto"/>
        <w:jc w:val="both"/>
        <w:rPr>
          <w:rFonts w:cs="Arial"/>
          <w:sz w:val="20"/>
          <w:szCs w:val="20"/>
          <w:lang w:val="fr-CH"/>
        </w:rPr>
      </w:pPr>
      <w:r w:rsidRPr="006B0F4F">
        <w:rPr>
          <w:rFonts w:cs="Arial"/>
          <w:sz w:val="20"/>
          <w:szCs w:val="20"/>
          <w:lang w:val="fr-CH"/>
        </w:rPr>
        <w:t xml:space="preserve">Didier, J., &amp; Leuba, D., (2011). La conception d’un objet : un acte créatif. </w:t>
      </w:r>
      <w:r w:rsidRPr="006B0F4F">
        <w:rPr>
          <w:rFonts w:cs="Arial"/>
          <w:i/>
          <w:sz w:val="20"/>
          <w:szCs w:val="20"/>
          <w:lang w:val="fr-CH"/>
        </w:rPr>
        <w:t>Prismes, 15</w:t>
      </w:r>
      <w:r w:rsidRPr="006B0F4F">
        <w:rPr>
          <w:rFonts w:cs="Arial"/>
          <w:sz w:val="20"/>
          <w:szCs w:val="20"/>
          <w:lang w:val="fr-CH"/>
        </w:rPr>
        <w:t>, 32-33.</w:t>
      </w:r>
    </w:p>
    <w:p w14:paraId="3246CA6E" w14:textId="77777777" w:rsidR="00D56880" w:rsidRDefault="00D56880" w:rsidP="00D56880">
      <w:pPr>
        <w:spacing w:line="360" w:lineRule="auto"/>
        <w:jc w:val="both"/>
        <w:rPr>
          <w:rFonts w:cs="Arial"/>
          <w:sz w:val="20"/>
          <w:szCs w:val="20"/>
          <w:lang w:val="fr-CH"/>
        </w:rPr>
      </w:pPr>
      <w:r w:rsidRPr="006B0F4F">
        <w:rPr>
          <w:rFonts w:cs="Arial"/>
          <w:sz w:val="20"/>
          <w:szCs w:val="20"/>
          <w:lang w:val="fr-CH"/>
        </w:rPr>
        <w:t xml:space="preserve">Didier, J. (2012). Culture technique et éducation. </w:t>
      </w:r>
      <w:r w:rsidRPr="006B0F4F">
        <w:rPr>
          <w:rFonts w:cs="Arial"/>
          <w:i/>
          <w:sz w:val="20"/>
          <w:szCs w:val="20"/>
          <w:lang w:val="fr-CH"/>
        </w:rPr>
        <w:t>Prismes, 16</w:t>
      </w:r>
      <w:r w:rsidRPr="006B0F4F">
        <w:rPr>
          <w:rFonts w:cs="Arial"/>
          <w:sz w:val="20"/>
          <w:szCs w:val="20"/>
          <w:lang w:val="fr-CH"/>
        </w:rPr>
        <w:t>, 14-15</w:t>
      </w:r>
      <w:r>
        <w:rPr>
          <w:rFonts w:cs="Arial"/>
          <w:sz w:val="20"/>
          <w:szCs w:val="20"/>
          <w:lang w:val="fr-CH"/>
        </w:rPr>
        <w:t>.</w:t>
      </w:r>
    </w:p>
    <w:p w14:paraId="5BD8FA78" w14:textId="77777777" w:rsidR="00CC1EF2" w:rsidRPr="00194A7F" w:rsidRDefault="00CC1EF2" w:rsidP="00CC1EF2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  <w:noProof w:val="0"/>
          <w:sz w:val="20"/>
          <w:szCs w:val="20"/>
        </w:rPr>
      </w:pPr>
      <w:r w:rsidRPr="00194A7F">
        <w:rPr>
          <w:rFonts w:cs="Times New Roman"/>
          <w:noProof w:val="0"/>
          <w:sz w:val="20"/>
          <w:szCs w:val="20"/>
        </w:rPr>
        <w:t>Dolz, J., Ronveaux, Chr., Schneuwly, B. (2006). Le synopsis : un outil pour analyser les objets</w:t>
      </w:r>
    </w:p>
    <w:p w14:paraId="2E0DC4F5" w14:textId="77777777" w:rsidR="00CC1EF2" w:rsidRPr="00194A7F" w:rsidRDefault="00CC1EF2" w:rsidP="00CC1EF2">
      <w:pPr>
        <w:widowControl w:val="0"/>
        <w:autoSpaceDE w:val="0"/>
        <w:autoSpaceDN w:val="0"/>
        <w:adjustRightInd w:val="0"/>
        <w:spacing w:line="360" w:lineRule="auto"/>
        <w:ind w:left="567"/>
        <w:rPr>
          <w:rFonts w:cs="Times New Roman"/>
          <w:noProof w:val="0"/>
          <w:sz w:val="20"/>
          <w:szCs w:val="20"/>
        </w:rPr>
      </w:pPr>
      <w:r w:rsidRPr="00194A7F">
        <w:rPr>
          <w:rFonts w:cs="Times New Roman"/>
          <w:noProof w:val="0"/>
          <w:sz w:val="20"/>
          <w:szCs w:val="20"/>
        </w:rPr>
        <w:t>enseignés. In M.J. Perrin-Glorian &amp; Y. Reuter (Éd.), Les méthodes de recherche en didactiques</w:t>
      </w:r>
    </w:p>
    <w:p w14:paraId="6149AC0A" w14:textId="77777777" w:rsidR="00CC1EF2" w:rsidRPr="00194A7F" w:rsidRDefault="00CC1EF2" w:rsidP="00CC1EF2">
      <w:pPr>
        <w:widowControl w:val="0"/>
        <w:autoSpaceDE w:val="0"/>
        <w:autoSpaceDN w:val="0"/>
        <w:adjustRightInd w:val="0"/>
        <w:spacing w:line="360" w:lineRule="auto"/>
        <w:ind w:left="567"/>
        <w:rPr>
          <w:rFonts w:cs="Times New Roman"/>
          <w:noProof w:val="0"/>
          <w:sz w:val="20"/>
          <w:szCs w:val="20"/>
        </w:rPr>
      </w:pPr>
      <w:r w:rsidRPr="00194A7F">
        <w:rPr>
          <w:rFonts w:cs="Times New Roman"/>
          <w:noProof w:val="0"/>
          <w:sz w:val="20"/>
          <w:szCs w:val="20"/>
        </w:rPr>
        <w:t>(Éducation et didactiques, pp. 175-190). Villeneuve d'Ascq : Presses universitaires du</w:t>
      </w:r>
    </w:p>
    <w:p w14:paraId="336F9CA3" w14:textId="2F30A8A9" w:rsidR="00CC1EF2" w:rsidRPr="00CC1EF2" w:rsidRDefault="00CC1EF2" w:rsidP="00CC1EF2">
      <w:pPr>
        <w:autoSpaceDE w:val="0"/>
        <w:autoSpaceDN w:val="0"/>
        <w:adjustRightInd w:val="0"/>
        <w:spacing w:after="240" w:line="360" w:lineRule="auto"/>
        <w:ind w:left="567"/>
        <w:jc w:val="both"/>
        <w:rPr>
          <w:rFonts w:cs="Times New Roman"/>
          <w:noProof w:val="0"/>
          <w:sz w:val="20"/>
          <w:szCs w:val="20"/>
        </w:rPr>
      </w:pPr>
      <w:r w:rsidRPr="00194A7F">
        <w:rPr>
          <w:rFonts w:cs="Times New Roman"/>
          <w:noProof w:val="0"/>
          <w:sz w:val="20"/>
          <w:szCs w:val="20"/>
        </w:rPr>
        <w:t>Septentrion.</w:t>
      </w:r>
    </w:p>
    <w:p w14:paraId="25FF7D4E" w14:textId="4B11C86C" w:rsidR="00CC1EF2" w:rsidRPr="00CC1EF2" w:rsidRDefault="00CC1EF2" w:rsidP="00092DDF">
      <w:pPr>
        <w:spacing w:line="360" w:lineRule="auto"/>
        <w:ind w:left="567" w:hanging="567"/>
        <w:jc w:val="both"/>
        <w:rPr>
          <w:rFonts w:cs="Times New Roman"/>
          <w:sz w:val="20"/>
          <w:szCs w:val="20"/>
        </w:rPr>
      </w:pPr>
      <w:r w:rsidRPr="006B0F4F">
        <w:rPr>
          <w:rFonts w:cs="Times New Roman"/>
          <w:sz w:val="20"/>
          <w:szCs w:val="20"/>
        </w:rPr>
        <w:t xml:space="preserve">Dumas, G. (2005). Questions orales à Guy Brousseau dans Salin. In M-H. Clanché et P. Sarrazy (Eds), </w:t>
      </w:r>
      <w:r w:rsidRPr="006B0F4F">
        <w:rPr>
          <w:rFonts w:cs="Times New Roman"/>
          <w:i/>
          <w:iCs/>
          <w:sz w:val="20"/>
          <w:szCs w:val="20"/>
        </w:rPr>
        <w:t xml:space="preserve">Sur la théorie des situations didactiques </w:t>
      </w:r>
      <w:r w:rsidRPr="006B0F4F">
        <w:rPr>
          <w:rFonts w:cs="Times New Roman"/>
          <w:sz w:val="20"/>
          <w:szCs w:val="20"/>
        </w:rPr>
        <w:t>(pp. 34-38). Grenoble : La Pensée Sauvage.</w:t>
      </w:r>
    </w:p>
    <w:p w14:paraId="67702FED" w14:textId="605FF72E" w:rsidR="00CC1EF2" w:rsidRPr="00CC1EF2" w:rsidRDefault="00CC1EF2" w:rsidP="00092DDF">
      <w:pPr>
        <w:spacing w:line="360" w:lineRule="auto"/>
        <w:ind w:left="567" w:hanging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Filliettaz, l., De Saint-Georges, I., Duc, B. (2008). « </w:t>
      </w:r>
      <w:r w:rsidRPr="008C1F51">
        <w:rPr>
          <w:rFonts w:cs="Times New Roman"/>
          <w:i/>
          <w:sz w:val="20"/>
          <w:szCs w:val="20"/>
        </w:rPr>
        <w:t>Vos mains sont intelligentes !</w:t>
      </w:r>
      <w:r>
        <w:rPr>
          <w:rFonts w:cs="Times New Roman"/>
          <w:i/>
          <w:sz w:val="20"/>
          <w:szCs w:val="20"/>
        </w:rPr>
        <w:t> »</w:t>
      </w:r>
      <w:r w:rsidRPr="008C1F51">
        <w:rPr>
          <w:rFonts w:cs="Times New Roman"/>
          <w:i/>
          <w:sz w:val="20"/>
          <w:szCs w:val="20"/>
        </w:rPr>
        <w:t xml:space="preserve"> Interactions en formation professionnelle initiale. </w:t>
      </w:r>
      <w:r>
        <w:rPr>
          <w:rFonts w:cs="Times New Roman"/>
          <w:sz w:val="20"/>
          <w:szCs w:val="20"/>
        </w:rPr>
        <w:t>Genève : Cahier de la section des Sciences de l’</w:t>
      </w:r>
      <w:r w:rsidR="000F2850">
        <w:rPr>
          <w:rFonts w:cs="Times New Roman"/>
          <w:sz w:val="20"/>
          <w:szCs w:val="20"/>
        </w:rPr>
        <w:t>É</w:t>
      </w:r>
      <w:r>
        <w:rPr>
          <w:rFonts w:cs="Times New Roman"/>
          <w:sz w:val="20"/>
          <w:szCs w:val="20"/>
        </w:rPr>
        <w:t>ducation.</w:t>
      </w:r>
    </w:p>
    <w:p w14:paraId="408FD782" w14:textId="77777777" w:rsidR="00D56880" w:rsidRDefault="00D56880" w:rsidP="00D56880">
      <w:pPr>
        <w:spacing w:line="360" w:lineRule="auto"/>
        <w:ind w:left="425" w:hanging="425"/>
        <w:jc w:val="both"/>
        <w:rPr>
          <w:rFonts w:cs="Times New Roman"/>
          <w:sz w:val="20"/>
          <w:szCs w:val="20"/>
          <w:lang w:val="fr-CH"/>
        </w:rPr>
      </w:pPr>
      <w:r w:rsidRPr="006B0F4F">
        <w:rPr>
          <w:rFonts w:cs="Times New Roman"/>
          <w:sz w:val="20"/>
          <w:szCs w:val="20"/>
          <w:lang w:val="fr-CH"/>
        </w:rPr>
        <w:t xml:space="preserve">Leplat, J. (2000). </w:t>
      </w:r>
      <w:r w:rsidRPr="00156187">
        <w:rPr>
          <w:rFonts w:cs="Times New Roman"/>
          <w:i/>
          <w:sz w:val="20"/>
          <w:szCs w:val="20"/>
          <w:lang w:val="fr-CH"/>
        </w:rPr>
        <w:t>L’analyse psychologique de l’activité en ergonomie</w:t>
      </w:r>
      <w:r w:rsidRPr="006B0F4F">
        <w:rPr>
          <w:rFonts w:cs="Times New Roman"/>
          <w:sz w:val="20"/>
          <w:szCs w:val="20"/>
          <w:lang w:val="fr-CH"/>
        </w:rPr>
        <w:t>. Toulouse : Octarès</w:t>
      </w:r>
      <w:r>
        <w:rPr>
          <w:rFonts w:cs="Times New Roman"/>
          <w:sz w:val="20"/>
          <w:szCs w:val="20"/>
          <w:lang w:val="fr-CH"/>
        </w:rPr>
        <w:t>.</w:t>
      </w:r>
    </w:p>
    <w:p w14:paraId="172D8D14" w14:textId="4C959924" w:rsidR="00D56880" w:rsidRPr="00D56880" w:rsidRDefault="00D56880" w:rsidP="00CC1EF2">
      <w:pPr>
        <w:spacing w:line="360" w:lineRule="auto"/>
        <w:ind w:left="567" w:hanging="567"/>
        <w:jc w:val="both"/>
        <w:rPr>
          <w:rFonts w:cs="Times New Roman"/>
          <w:sz w:val="20"/>
          <w:szCs w:val="20"/>
          <w:lang w:val="en-US" w:eastAsia="en-US"/>
        </w:rPr>
      </w:pPr>
      <w:r w:rsidRPr="006B0F4F">
        <w:rPr>
          <w:rFonts w:cs="Times New Roman"/>
          <w:sz w:val="20"/>
          <w:szCs w:val="20"/>
          <w:lang w:val="en-US" w:eastAsia="en-US"/>
        </w:rPr>
        <w:t xml:space="preserve">Pastré, P. (2006). Apprendre à faire. In E. Bourgeois &amp; G. Chapelle (Dir.), </w:t>
      </w:r>
      <w:r w:rsidRPr="006B0F4F">
        <w:rPr>
          <w:rFonts w:cs="Times New Roman"/>
          <w:i/>
          <w:sz w:val="20"/>
          <w:szCs w:val="20"/>
          <w:lang w:val="en-US" w:eastAsia="en-US"/>
        </w:rPr>
        <w:t>Apprendre et faire apprendre</w:t>
      </w:r>
      <w:r w:rsidRPr="006B0F4F">
        <w:rPr>
          <w:rFonts w:cs="Times New Roman"/>
          <w:sz w:val="20"/>
          <w:szCs w:val="20"/>
          <w:lang w:val="en-US" w:eastAsia="en-US"/>
        </w:rPr>
        <w:t xml:space="preserve">. pp. 109-117. Paris: PUF. </w:t>
      </w:r>
    </w:p>
    <w:p w14:paraId="0F7B7DD1" w14:textId="77777777" w:rsidR="00D56880" w:rsidRPr="006B0F4F" w:rsidRDefault="00D56880" w:rsidP="00D56880">
      <w:pPr>
        <w:spacing w:line="360" w:lineRule="auto"/>
        <w:ind w:left="709" w:hanging="709"/>
        <w:jc w:val="both"/>
        <w:rPr>
          <w:rFonts w:cs="Times New Roman"/>
          <w:sz w:val="20"/>
          <w:szCs w:val="20"/>
        </w:rPr>
      </w:pPr>
      <w:r w:rsidRPr="006B0F4F">
        <w:rPr>
          <w:rFonts w:cs="Times New Roman"/>
          <w:sz w:val="20"/>
          <w:szCs w:val="20"/>
          <w:lang w:val="fr-CH"/>
        </w:rPr>
        <w:t xml:space="preserve">Simondon, G. (2008). </w:t>
      </w:r>
      <w:r w:rsidRPr="006B0F4F">
        <w:rPr>
          <w:rFonts w:cs="Times New Roman"/>
          <w:i/>
          <w:iCs/>
          <w:sz w:val="20"/>
          <w:szCs w:val="20"/>
        </w:rPr>
        <w:t>Du mode d’existence des objets techniques</w:t>
      </w:r>
      <w:r w:rsidRPr="006B0F4F">
        <w:rPr>
          <w:rFonts w:cs="Times New Roman"/>
          <w:sz w:val="20"/>
          <w:szCs w:val="20"/>
        </w:rPr>
        <w:t>. Lonrai : Aubier Philosophie.</w:t>
      </w:r>
    </w:p>
    <w:p w14:paraId="7150A1EF" w14:textId="77777777" w:rsidR="00AE20A3" w:rsidRDefault="00AE20A3"/>
    <w:sectPr w:rsidR="00AE20A3" w:rsidSect="008E71C8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D32B" w14:textId="77777777" w:rsidR="00D56880" w:rsidRDefault="00D56880" w:rsidP="00AE20A3">
      <w:r>
        <w:separator/>
      </w:r>
    </w:p>
  </w:endnote>
  <w:endnote w:type="continuationSeparator" w:id="0">
    <w:p w14:paraId="0D410D34" w14:textId="77777777" w:rsidR="00D56880" w:rsidRDefault="00D56880" w:rsidP="00A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1494E" w14:textId="77777777" w:rsidR="00D56880" w:rsidRDefault="00D56880" w:rsidP="00AE20A3">
      <w:r>
        <w:separator/>
      </w:r>
    </w:p>
  </w:footnote>
  <w:footnote w:type="continuationSeparator" w:id="0">
    <w:p w14:paraId="14BAEC43" w14:textId="77777777" w:rsidR="00D56880" w:rsidRDefault="00D56880" w:rsidP="00AE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A3"/>
    <w:rsid w:val="00092DDF"/>
    <w:rsid w:val="000F2850"/>
    <w:rsid w:val="0017745A"/>
    <w:rsid w:val="002E7415"/>
    <w:rsid w:val="005D0E31"/>
    <w:rsid w:val="008C4D8E"/>
    <w:rsid w:val="008E71C8"/>
    <w:rsid w:val="00AE20A3"/>
    <w:rsid w:val="00BF62C8"/>
    <w:rsid w:val="00BF6D26"/>
    <w:rsid w:val="00CC1EF2"/>
    <w:rsid w:val="00D56880"/>
    <w:rsid w:val="00DB59F2"/>
    <w:rsid w:val="00E56429"/>
    <w:rsid w:val="00EA7252"/>
    <w:rsid w:val="00FA2D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CC6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unhideWhenUsed/>
    <w:rsid w:val="00AE20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unhideWhenUsed/>
    <w:rsid w:val="00AE2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HEP-VD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HEP-VD</dc:creator>
  <cp:lastModifiedBy>essai2</cp:lastModifiedBy>
  <cp:revision>2</cp:revision>
  <dcterms:created xsi:type="dcterms:W3CDTF">2014-06-02T11:40:00Z</dcterms:created>
  <dcterms:modified xsi:type="dcterms:W3CDTF">2014-06-02T11:40:00Z</dcterms:modified>
</cp:coreProperties>
</file>