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38F58" w14:textId="77777777" w:rsidR="00F623A0" w:rsidRPr="00FE457A" w:rsidRDefault="00F623A0" w:rsidP="00F623A0">
      <w:pPr>
        <w:jc w:val="center"/>
        <w:rPr>
          <w:rFonts w:eastAsia="Times New Roman" w:cstheme="minorHAnsi"/>
          <w:b/>
          <w:bCs/>
          <w:sz w:val="32"/>
          <w:szCs w:val="32"/>
          <w:u w:val="single"/>
          <w:lang w:eastAsia="fr-FR"/>
        </w:rPr>
      </w:pPr>
      <w:r w:rsidRPr="00FE457A">
        <w:rPr>
          <w:rFonts w:eastAsia="Times New Roman" w:cstheme="minorHAnsi"/>
          <w:b/>
          <w:bCs/>
          <w:sz w:val="32"/>
          <w:szCs w:val="32"/>
          <w:u w:val="single"/>
          <w:lang w:eastAsia="fr-FR"/>
        </w:rPr>
        <w:t>Paul-Alexis Mellet</w:t>
      </w:r>
    </w:p>
    <w:p w14:paraId="4659FF14" w14:textId="77777777" w:rsidR="00FE457A" w:rsidRPr="00FE457A" w:rsidRDefault="00FE457A" w:rsidP="00F623A0">
      <w:pPr>
        <w:jc w:val="center"/>
        <w:rPr>
          <w:rFonts w:eastAsia="Times New Roman" w:cstheme="minorHAnsi"/>
          <w:b/>
          <w:bCs/>
          <w:sz w:val="32"/>
          <w:szCs w:val="32"/>
          <w:u w:val="single"/>
          <w:lang w:eastAsia="fr-FR"/>
        </w:rPr>
      </w:pPr>
    </w:p>
    <w:p w14:paraId="640D9DC1" w14:textId="1693990F" w:rsidR="00F623A0" w:rsidRPr="00FE457A" w:rsidRDefault="00F623A0" w:rsidP="00F623A0">
      <w:pPr>
        <w:jc w:val="center"/>
        <w:rPr>
          <w:rFonts w:eastAsia="Times New Roman" w:cstheme="minorHAnsi"/>
          <w:b/>
          <w:bCs/>
          <w:sz w:val="32"/>
          <w:szCs w:val="32"/>
          <w:u w:val="single"/>
          <w:lang w:eastAsia="fr-FR"/>
        </w:rPr>
      </w:pPr>
      <w:r w:rsidRPr="00FE457A">
        <w:rPr>
          <w:rFonts w:eastAsia="Times New Roman" w:cstheme="minorHAnsi"/>
          <w:b/>
          <w:bCs/>
          <w:sz w:val="32"/>
          <w:szCs w:val="32"/>
          <w:u w:val="single"/>
          <w:lang w:eastAsia="fr-FR"/>
        </w:rPr>
        <w:t>Projets de recherche en cours</w:t>
      </w:r>
    </w:p>
    <w:p w14:paraId="7969CF66" w14:textId="77777777" w:rsidR="00F623A0" w:rsidRDefault="00F623A0" w:rsidP="00F623A0">
      <w:pPr>
        <w:jc w:val="both"/>
        <w:rPr>
          <w:rFonts w:eastAsia="Times New Roman" w:cstheme="minorHAnsi"/>
          <w:lang w:eastAsia="fr-FR"/>
        </w:rPr>
      </w:pPr>
    </w:p>
    <w:p w14:paraId="66EE895B" w14:textId="77777777" w:rsidR="004D4ECB" w:rsidRDefault="004D4ECB" w:rsidP="00F623A0">
      <w:pPr>
        <w:jc w:val="both"/>
        <w:rPr>
          <w:rFonts w:eastAsia="Times New Roman" w:cstheme="minorHAnsi"/>
          <w:lang w:eastAsia="fr-FR"/>
        </w:rPr>
      </w:pPr>
    </w:p>
    <w:p w14:paraId="656AB7E3" w14:textId="24CD5C64" w:rsidR="004D4ECB" w:rsidRDefault="004D4ECB" w:rsidP="004D4ECB">
      <w:pPr>
        <w:jc w:val="center"/>
        <w:rPr>
          <w:rFonts w:eastAsia="Times New Roman" w:cstheme="minorHAnsi"/>
          <w:b/>
          <w:bCs/>
          <w:u w:val="single"/>
          <w:lang w:eastAsia="fr-FR"/>
        </w:rPr>
      </w:pPr>
      <w:r w:rsidRPr="004D4ECB">
        <w:rPr>
          <w:rFonts w:eastAsia="Times New Roman" w:cstheme="minorHAnsi"/>
          <w:b/>
          <w:bCs/>
          <w:u w:val="single"/>
          <w:lang w:eastAsia="fr-FR"/>
        </w:rPr>
        <w:t xml:space="preserve">FNS ARCHEO-POL : </w:t>
      </w:r>
    </w:p>
    <w:p w14:paraId="6B467789" w14:textId="36C2ACC4" w:rsidR="00F623A0" w:rsidRPr="004D4ECB" w:rsidRDefault="004D4ECB" w:rsidP="004D4ECB">
      <w:pPr>
        <w:jc w:val="center"/>
        <w:rPr>
          <w:rFonts w:eastAsia="Times New Roman" w:cstheme="minorHAnsi"/>
          <w:b/>
          <w:bCs/>
          <w:u w:val="single"/>
          <w:lang w:eastAsia="fr-FR"/>
        </w:rPr>
      </w:pPr>
      <w:r w:rsidRPr="004D4ECB">
        <w:rPr>
          <w:rFonts w:eastAsia="Times New Roman" w:cstheme="minorHAnsi"/>
          <w:b/>
          <w:bCs/>
          <w:u w:val="single"/>
          <w:lang w:eastAsia="fr-FR"/>
        </w:rPr>
        <w:t>la Bibliothèque des Monarchomaques</w:t>
      </w:r>
    </w:p>
    <w:p w14:paraId="56454315" w14:textId="77777777" w:rsidR="004D4ECB" w:rsidRDefault="004D4ECB" w:rsidP="00F623A0">
      <w:pPr>
        <w:jc w:val="both"/>
        <w:rPr>
          <w:rFonts w:eastAsia="Times New Roman" w:cstheme="minorHAnsi"/>
          <w:lang w:eastAsia="fr-FR"/>
        </w:rPr>
      </w:pPr>
    </w:p>
    <w:p w14:paraId="2B92ABEA" w14:textId="1AF4ECE3" w:rsidR="004D4ECB" w:rsidRPr="004D4ECB" w:rsidRDefault="004D4ECB" w:rsidP="00F623A0">
      <w:pPr>
        <w:jc w:val="both"/>
        <w:rPr>
          <w:rFonts w:eastAsia="Times New Roman" w:cstheme="minorHAnsi"/>
          <w:b/>
          <w:bCs/>
          <w:lang w:eastAsia="fr-FR"/>
        </w:rPr>
      </w:pPr>
      <w:r w:rsidRPr="004D4ECB">
        <w:rPr>
          <w:rFonts w:eastAsia="Times New Roman" w:cstheme="minorHAnsi"/>
          <w:b/>
          <w:bCs/>
          <w:lang w:eastAsia="fr-FR"/>
        </w:rPr>
        <w:t>Programme de recherche financé par le Fonds national suisse pour une durée de 4 ans (2024-2028)</w:t>
      </w:r>
      <w:r>
        <w:rPr>
          <w:rFonts w:eastAsia="Times New Roman" w:cstheme="minorHAnsi"/>
          <w:b/>
          <w:bCs/>
          <w:lang w:eastAsia="fr-FR"/>
        </w:rPr>
        <w:t xml:space="preserve">, dirigé par Paul-Alexis Mellet et mené avec Lorenzo Paoli (postdoc), Alyze Bianco (doc) et Nicolas Champeaux (doc). </w:t>
      </w:r>
    </w:p>
    <w:p w14:paraId="0D3340AD" w14:textId="77777777" w:rsidR="004D4ECB" w:rsidRDefault="004D4ECB" w:rsidP="00F623A0">
      <w:pPr>
        <w:jc w:val="both"/>
        <w:rPr>
          <w:rFonts w:eastAsia="Times New Roman" w:cstheme="minorHAnsi"/>
          <w:lang w:eastAsia="fr-FR"/>
        </w:rPr>
      </w:pPr>
    </w:p>
    <w:p w14:paraId="32ACC70B" w14:textId="77777777" w:rsidR="004D4ECB" w:rsidRPr="004D4ECB" w:rsidRDefault="004D4ECB" w:rsidP="004D4ECB">
      <w:pPr>
        <w:ind w:firstLine="567"/>
        <w:jc w:val="both"/>
        <w:rPr>
          <w:rFonts w:eastAsia="Times New Roman" w:cstheme="minorHAnsi"/>
          <w:lang w:eastAsia="fr-FR"/>
        </w:rPr>
      </w:pPr>
      <w:r w:rsidRPr="004D4ECB">
        <w:rPr>
          <w:rFonts w:eastAsia="Times New Roman" w:cstheme="minorHAnsi"/>
          <w:lang w:eastAsia="fr-FR"/>
        </w:rPr>
        <w:t xml:space="preserve">Dans son ouvrage de 2013 sur le </w:t>
      </w:r>
      <w:r w:rsidRPr="004D4ECB">
        <w:rPr>
          <w:rFonts w:eastAsia="Times New Roman" w:cstheme="minorHAnsi"/>
          <w:i/>
          <w:iCs/>
          <w:lang w:eastAsia="fr-FR"/>
        </w:rPr>
        <w:t>Pouvoir absolu</w:t>
      </w:r>
      <w:r w:rsidRPr="004D4ECB">
        <w:rPr>
          <w:rFonts w:eastAsia="Times New Roman" w:cstheme="minorHAnsi"/>
          <w:lang w:eastAsia="fr-FR"/>
        </w:rPr>
        <w:t>, l’historienne Arlette Jouanna s’interrogeait avec perplexité sur l’étrangeté de la Renaissance : « comment retrouver un monde aujourd’hui si lointain ? ». Mais elle répondait immédiatement avec enthousiasme : l’entreprise vaut la peine d’être menée, car « c’est de la réflexion des penseurs d’autrefois que sont nés des concepts qui perdurent au coeur de la pensée politique : la souveraineté, l’Etat, le droit de résistance, la liberté des individus ». Or, ce sont précisément ces mêmes concepts, issus de l’Antiquité et du Moyen-Age, qui ont été exhumés, actualisés et articulés, dans le contexte européen des guerres de religion en Europe au XVIè siècle, pour constituer la théorie dite « monarchomaque ». L’idée d’une résistance armée légitime au nom des libertés publiques a ensuite connu une grande postérité, par exemple chez Hobbes et Rousseau, dans les révolutions anglaise, américaine et française, et jusque dans les mouvements de protestation en Europe et aux Etats-Unis en 1968. Mais d’où vient-elle exactement ? Comment s’est-elle constituée ?</w:t>
      </w:r>
    </w:p>
    <w:p w14:paraId="295CBE79" w14:textId="77777777" w:rsidR="004D4ECB" w:rsidRPr="004D4ECB" w:rsidRDefault="004D4ECB" w:rsidP="004D4ECB">
      <w:pPr>
        <w:ind w:firstLine="567"/>
        <w:jc w:val="both"/>
        <w:rPr>
          <w:rFonts w:eastAsia="Times New Roman" w:cstheme="minorHAnsi"/>
          <w:lang w:eastAsia="fr-FR"/>
        </w:rPr>
      </w:pPr>
      <w:r w:rsidRPr="004D4ECB">
        <w:rPr>
          <w:rFonts w:eastAsia="Times New Roman" w:cstheme="minorHAnsi"/>
          <w:lang w:eastAsia="fr-FR"/>
        </w:rPr>
        <w:t>L’objectif de ce projet de recherche est de se concentrer sur les sources de ces concepts, et renouveler la compréhension des Monarchomaques, ces juristes et théologiens calvinistes de la fin du XVIè siècle qui ont justifié la résistance armée. Alors qu’ils sont bien connus aujourd’hui, de nombreuses zones d’ombre subsistent : liste précise des ouvrages et de leurs rééditions, réponses critiques, influences et surtout sources et références. Il s’agit donc d’offrir des analyses transversales de textes souvent étudiés séparément, tout en adoptant une méthode originale : l’étude des sources dont ils se sont inspirés. Quelles étaient leurs formations et leurs lectures ? Quelles interprétations faisaient-ils de la Bible, des philosophes de l’Antiquité, des juristes médiévaux ou des historiens qui les ont précédés ? Quelles influences ces pratiques intellectuelles et éditoriales ont-elles suscitées ? Pour eux, le précédent historique ne rendait pas seulement possible une forme institutionnelle du passé, il la rendait réelle en montrant qu’elle a déjà existé (Grafton et Schwab 2022).</w:t>
      </w:r>
    </w:p>
    <w:p w14:paraId="6603FAC0" w14:textId="41308F84" w:rsidR="004D4ECB" w:rsidRPr="004D4ECB" w:rsidRDefault="004D4ECB" w:rsidP="004D4ECB">
      <w:pPr>
        <w:ind w:firstLine="567"/>
        <w:jc w:val="both"/>
        <w:rPr>
          <w:rFonts w:eastAsia="Times New Roman" w:cstheme="minorHAnsi"/>
          <w:lang w:eastAsia="fr-FR"/>
        </w:rPr>
      </w:pPr>
      <w:r w:rsidRPr="004D4ECB">
        <w:rPr>
          <w:rFonts w:eastAsia="Times New Roman" w:cstheme="minorHAnsi"/>
          <w:lang w:eastAsia="fr-FR"/>
        </w:rPr>
        <w:t xml:space="preserve">Mais il fallait encore que ces cas anciens puissent être érigés en modèles exemplaires pour le présent ou l’avenir (Hampton 1990 ; Giavarini 2008). Le système repose donc sur une véritable « théorie des sources », de leur nature (lesquelles ?) et de leur fonction (quels modèles pour l’avenir ?). Ce sont ces sources, parfois communes aux catholiques et aux protestants (Frank 2023), qui ont fait l’objet de grandes controverses pendant les guerres de religion. Ce sont ces sources, finalement, qui ont dessiné les contours d’une méthode polémique, l’« exigence critique dans la parole pamphlétaire » (Christin 2014), qui s’est imposée jusqu’à aujourd’hui. Le projet propose ainsi de relire les traités monarchomaques à partir des sources sur lesquelles ils s’appuient. Pour mener à bien ce projet portant sur un </w:t>
      </w:r>
      <w:r w:rsidRPr="004D4ECB">
        <w:rPr>
          <w:rFonts w:eastAsia="Times New Roman" w:cstheme="minorHAnsi"/>
          <w:lang w:eastAsia="fr-FR"/>
        </w:rPr>
        <w:lastRenderedPageBreak/>
        <w:t>corpus de recherche redéfini et enrichi, nous proposons de recourir aux outils numériques qui permettront de rechercher ces sources, de les comparer entre les textes, de mesurer leur impact et leur réception dans d’autres textes et d’autres contextes, notamment pour les critiques qu’ils ont reçues. D’un point de vue épistémologique, l’analyse computationnelle fournit en effet des outils permettant des recherches dans des corpus élargis.</w:t>
      </w:r>
    </w:p>
    <w:p w14:paraId="285687CA" w14:textId="77777777" w:rsidR="004D4ECB" w:rsidRDefault="004D4ECB" w:rsidP="00F623A0">
      <w:pPr>
        <w:jc w:val="both"/>
        <w:rPr>
          <w:rFonts w:eastAsia="Times New Roman" w:cstheme="minorHAnsi"/>
          <w:lang w:eastAsia="fr-FR"/>
        </w:rPr>
      </w:pPr>
    </w:p>
    <w:p w14:paraId="218DFC96" w14:textId="77777777" w:rsidR="004D4ECB" w:rsidRPr="00C63036" w:rsidRDefault="004D4ECB" w:rsidP="00F623A0">
      <w:pPr>
        <w:jc w:val="both"/>
        <w:rPr>
          <w:rFonts w:eastAsia="Times New Roman" w:cstheme="minorHAnsi"/>
          <w:lang w:eastAsia="fr-FR"/>
        </w:rPr>
      </w:pPr>
    </w:p>
    <w:p w14:paraId="0964A9CD" w14:textId="77777777" w:rsidR="00F623A0" w:rsidRPr="00C63036" w:rsidRDefault="00F623A0" w:rsidP="00F623A0">
      <w:pPr>
        <w:jc w:val="center"/>
        <w:outlineLvl w:val="0"/>
        <w:rPr>
          <w:rFonts w:eastAsia="Times New Roman" w:cstheme="minorHAnsi"/>
          <w:b/>
          <w:bCs/>
          <w:kern w:val="36"/>
          <w:u w:val="single"/>
          <w:lang w:eastAsia="fr-FR"/>
        </w:rPr>
      </w:pPr>
      <w:r w:rsidRPr="00C63036">
        <w:rPr>
          <w:rFonts w:eastAsia="Times New Roman" w:cstheme="minorHAnsi"/>
          <w:b/>
          <w:bCs/>
          <w:kern w:val="36"/>
          <w:u w:val="single"/>
          <w:lang w:eastAsia="fr-FR"/>
        </w:rPr>
        <w:t>Les « Discours véritables », 1450-1650</w:t>
      </w:r>
    </w:p>
    <w:p w14:paraId="75D2C7A8" w14:textId="77777777" w:rsidR="00F623A0" w:rsidRDefault="00F623A0" w:rsidP="00F623A0">
      <w:pPr>
        <w:jc w:val="both"/>
        <w:rPr>
          <w:rFonts w:eastAsia="Times New Roman" w:cstheme="minorHAnsi"/>
          <w:b/>
          <w:bCs/>
          <w:lang w:eastAsia="fr-FR"/>
        </w:rPr>
      </w:pPr>
    </w:p>
    <w:p w14:paraId="32425BFD" w14:textId="6A194719" w:rsidR="00F623A0" w:rsidRDefault="004D4ECB" w:rsidP="00F623A0">
      <w:pPr>
        <w:jc w:val="both"/>
        <w:rPr>
          <w:rFonts w:eastAsia="Times New Roman" w:cstheme="minorHAnsi"/>
          <w:b/>
          <w:bCs/>
          <w:lang w:eastAsia="fr-FR"/>
        </w:rPr>
      </w:pPr>
      <w:r>
        <w:rPr>
          <w:rFonts w:eastAsia="Times New Roman" w:cstheme="minorHAnsi"/>
          <w:b/>
          <w:bCs/>
          <w:lang w:eastAsia="fr-FR"/>
        </w:rPr>
        <w:t>Programme</w:t>
      </w:r>
      <w:r w:rsidR="00F623A0" w:rsidRPr="00C63036">
        <w:rPr>
          <w:rFonts w:eastAsia="Times New Roman" w:cstheme="minorHAnsi"/>
          <w:b/>
          <w:bCs/>
          <w:lang w:eastAsia="fr-FR"/>
        </w:rPr>
        <w:t xml:space="preserve"> de recherche interdisciplinaire (Histoire et Littérature), dirigé par Estelle Doudet (Lausanne) et Paul-Alexis Mellet (Genève)</w:t>
      </w:r>
    </w:p>
    <w:p w14:paraId="36CFB860" w14:textId="77777777" w:rsidR="00F623A0" w:rsidRPr="00C63036" w:rsidRDefault="00F623A0" w:rsidP="00F623A0">
      <w:pPr>
        <w:jc w:val="both"/>
        <w:rPr>
          <w:rFonts w:eastAsia="Times New Roman" w:cstheme="minorHAnsi"/>
          <w:lang w:eastAsia="fr-FR"/>
        </w:rPr>
      </w:pPr>
    </w:p>
    <w:p w14:paraId="59E10EF1" w14:textId="246564B8" w:rsidR="00F623A0" w:rsidRDefault="00F623A0" w:rsidP="004D4ECB">
      <w:pPr>
        <w:ind w:firstLine="567"/>
        <w:jc w:val="both"/>
        <w:rPr>
          <w:rFonts w:eastAsia="Times New Roman" w:cstheme="minorHAnsi"/>
          <w:lang w:eastAsia="fr-FR"/>
        </w:rPr>
      </w:pPr>
      <w:r w:rsidRPr="00C63036">
        <w:rPr>
          <w:rFonts w:eastAsia="Times New Roman" w:cstheme="minorHAnsi"/>
          <w:lang w:eastAsia="fr-FR"/>
        </w:rPr>
        <w:t>Ce projet propose d’étudier un genre de discours occasionnels bien particulier : les « discours véritables » (ou « histoires au vray »). Ces textes, dont la multiplication entre 1450 et 1650 retient l’attention, présentent une similarité de titres mais une grande variété de contenus : l’avancée des Turcs, les conflits en Espagne ou en Angleterre, les défaites catholiques ou protestantes en France ou en Suisse, mais aussi toute une série de « faits divers » ou spectaculaires, tels les prodiges ou les comètes, les assassinats entre époux, les procès de sorcellerie, les « estrangetez » diverses… L’éclatement de ces objets, tout comme la modestie de leurs formats, expliquent probablement le désintérêt des historiens pour ces sources. L’objectif du projet est de tenter de caractériser ce « genre de discours », tout en inscrivant ces imprimés éphémères dans une approche interdisciplinaire (histoire et littérature). Qu’est-ce qui est « vrai » ou « véritable » dans les « discours véritables » ? Quelles sont les modalités de récit des événements ? Quelles sont les logiques de véridiction justifiant l’adoption de ce titre très particulier ? Quelles sont les durées de vie de ces imprimés inscrits et parfois « enfermés » dans l’actualité, mais dont certains se démarquent par une durée de vie (rééditions) étonnante ?</w:t>
      </w:r>
      <w:r w:rsidR="000C1C1C">
        <w:rPr>
          <w:rFonts w:eastAsia="Times New Roman" w:cstheme="minorHAnsi"/>
          <w:lang w:eastAsia="fr-FR"/>
        </w:rPr>
        <w:t xml:space="preserve"> Après plus de deux années de réunion régulières, le groupe prépare maintenant une publication de discours véritables édités et commentés. </w:t>
      </w:r>
    </w:p>
    <w:p w14:paraId="2A072C1D" w14:textId="77777777" w:rsidR="00F623A0" w:rsidRPr="00C63036" w:rsidRDefault="00F623A0" w:rsidP="00F623A0">
      <w:pPr>
        <w:jc w:val="both"/>
        <w:rPr>
          <w:rFonts w:eastAsia="Times New Roman" w:cstheme="minorHAnsi"/>
          <w:lang w:eastAsia="fr-FR"/>
        </w:rPr>
      </w:pPr>
    </w:p>
    <w:p w14:paraId="703411F9" w14:textId="77777777" w:rsidR="00F623A0" w:rsidRPr="00C63036" w:rsidRDefault="00F623A0" w:rsidP="00F623A0">
      <w:pPr>
        <w:jc w:val="both"/>
        <w:rPr>
          <w:rFonts w:eastAsia="Times New Roman" w:cstheme="minorHAnsi"/>
          <w:lang w:eastAsia="fr-FR"/>
        </w:rPr>
      </w:pPr>
    </w:p>
    <w:p w14:paraId="18A27B90" w14:textId="77777777"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r w:rsidRPr="00C63036">
        <w:rPr>
          <w:rFonts w:asciiTheme="minorHAnsi" w:hAnsiTheme="minorHAnsi" w:cstheme="minorHAnsi"/>
          <w:sz w:val="24"/>
          <w:szCs w:val="24"/>
          <w:u w:val="single"/>
        </w:rPr>
        <w:t>Anthropologie politique et religieuse de la parole, XVIè-XVIIè siècles</w:t>
      </w:r>
    </w:p>
    <w:p w14:paraId="2C6B11C4" w14:textId="77777777" w:rsidR="00F623A0" w:rsidRPr="00C63036"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22954680" w14:textId="77777777" w:rsidR="00F623A0" w:rsidRDefault="00F623A0" w:rsidP="00F623A0">
      <w:pPr>
        <w:jc w:val="both"/>
        <w:rPr>
          <w:rFonts w:eastAsia="Times New Roman" w:cstheme="minorHAnsi"/>
          <w:b/>
          <w:bCs/>
          <w:lang w:eastAsia="fr-FR"/>
        </w:rPr>
      </w:pPr>
      <w:r w:rsidRPr="00C63036">
        <w:rPr>
          <w:rFonts w:eastAsia="Times New Roman" w:cstheme="minorHAnsi"/>
          <w:b/>
          <w:bCs/>
          <w:lang w:eastAsia="fr-FR"/>
        </w:rPr>
        <w:t>Programme de recherche dirigé par Monique Weis (Luxembourg), Jérémie Ferrer-Bartomeu (FNRS) et Paul-Alexis Mellet (Genève)</w:t>
      </w:r>
    </w:p>
    <w:p w14:paraId="53BE5C1D" w14:textId="77777777" w:rsidR="00F623A0" w:rsidRPr="00C63036" w:rsidRDefault="00F623A0" w:rsidP="00F623A0">
      <w:pPr>
        <w:jc w:val="both"/>
        <w:rPr>
          <w:rFonts w:eastAsia="Times New Roman" w:cstheme="minorHAnsi"/>
          <w:lang w:eastAsia="fr-FR"/>
        </w:rPr>
      </w:pPr>
    </w:p>
    <w:p w14:paraId="48E0A68B" w14:textId="77777777" w:rsidR="00F623A0" w:rsidRDefault="00F623A0" w:rsidP="00F623A0">
      <w:pPr>
        <w:jc w:val="both"/>
        <w:rPr>
          <w:rFonts w:eastAsia="Times New Roman" w:cstheme="minorHAnsi"/>
          <w:lang w:eastAsia="fr-FR"/>
        </w:rPr>
      </w:pPr>
      <w:hyperlink r:id="rId6" w:history="1">
        <w:r w:rsidRPr="00C63036">
          <w:rPr>
            <w:rStyle w:val="Lienhypertexte"/>
            <w:rFonts w:eastAsia="Times New Roman" w:cstheme="minorHAnsi"/>
            <w:lang w:eastAsia="fr-FR"/>
          </w:rPr>
          <w:t>https://parole.hypotheses.org</w:t>
        </w:r>
      </w:hyperlink>
      <w:r w:rsidRPr="00C63036">
        <w:rPr>
          <w:rFonts w:eastAsia="Times New Roman" w:cstheme="minorHAnsi"/>
          <w:lang w:eastAsia="fr-FR"/>
        </w:rPr>
        <w:t xml:space="preserve"> </w:t>
      </w:r>
    </w:p>
    <w:p w14:paraId="6D61EC73" w14:textId="77777777" w:rsidR="00F623A0" w:rsidRPr="00C63036" w:rsidRDefault="00F623A0" w:rsidP="00F623A0">
      <w:pPr>
        <w:jc w:val="both"/>
        <w:rPr>
          <w:rFonts w:eastAsia="Times New Roman" w:cstheme="minorHAnsi"/>
          <w:lang w:eastAsia="fr-FR"/>
        </w:rPr>
      </w:pPr>
    </w:p>
    <w:p w14:paraId="60B8DC54" w14:textId="52C795E1"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Le projet de recherche « Anthropologie politique et religieuse de la parole (XVIè-XVIIè siècles) » envisage de s’interroger sur la question de la parole, depuis sa genèse moderne à sa profusion contemporaine, mais également à son impact. Il vise en particulier à mettre en lumière l’importance de la problématique de la gestion de la parole dans les sociétés modernes. Dans un paradoxe tout à fait fascinant, la parole oscille entre abondance et rareté : le pouvoir qu’elle détient lui provient de cette dernière et son utilisation doit donc être parcimonieuse et, surtout, contrôlée. C’est ainsi que des stratégies communicationnelles et des acteurs institutionnels naissent ou se développent afin de maîtriser la production, la diffusion et la réception de la parole politique. Cependant, ils ne sont pas seuls détenteurs du « verbe politique » et les crises successives qui secouent la première modernité encouragent </w:t>
      </w:r>
      <w:r w:rsidRPr="00C63036">
        <w:rPr>
          <w:rFonts w:eastAsia="Times New Roman" w:cstheme="minorHAnsi"/>
          <w:lang w:eastAsia="fr-FR"/>
        </w:rPr>
        <w:lastRenderedPageBreak/>
        <w:t>une amplification des discours : l’opposition se multiplie en même temps que les pôles de production, l’imprimerie rend la diffusion plus aisée mais plus incontrôlable, et le pouvoir sacré de la parole souveraine est mis à mal par de nouvelles concurrences. Dans la gestion des crises politiques et religieuses de la première modernité, la parole est à la fois problème et solution.</w:t>
      </w:r>
      <w:r w:rsidR="000C1C1C">
        <w:rPr>
          <w:rFonts w:eastAsia="Times New Roman" w:cstheme="minorHAnsi"/>
          <w:lang w:eastAsia="fr-FR"/>
        </w:rPr>
        <w:t xml:space="preserve"> Après 3 colloques (Genève, Belval-Luxembourg et Bruxelles) et 3 ateliers de lecture de source (Tours, Nancy et Louvain-la-Neuve), un projet de publication est en cours. </w:t>
      </w:r>
    </w:p>
    <w:p w14:paraId="2EE979BA" w14:textId="0F91BD8B" w:rsidR="00F623A0" w:rsidRDefault="00F623A0" w:rsidP="00F623A0">
      <w:pPr>
        <w:jc w:val="both"/>
        <w:rPr>
          <w:rFonts w:eastAsia="Times New Roman" w:cstheme="minorHAnsi"/>
          <w:lang w:eastAsia="fr-FR"/>
        </w:rPr>
      </w:pPr>
    </w:p>
    <w:p w14:paraId="65213DC8" w14:textId="77777777" w:rsidR="007C0309" w:rsidRPr="00C63036" w:rsidRDefault="007C0309" w:rsidP="00F623A0">
      <w:pPr>
        <w:jc w:val="both"/>
        <w:rPr>
          <w:rFonts w:eastAsia="Times New Roman" w:cstheme="minorHAnsi"/>
          <w:lang w:eastAsia="fr-FR"/>
        </w:rPr>
      </w:pPr>
    </w:p>
    <w:p w14:paraId="001B6E52" w14:textId="2198352D"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r>
        <w:rPr>
          <w:rFonts w:asciiTheme="minorHAnsi" w:hAnsiTheme="minorHAnsi" w:cstheme="minorHAnsi"/>
          <w:sz w:val="24"/>
          <w:szCs w:val="24"/>
          <w:u w:val="single"/>
        </w:rPr>
        <w:t xml:space="preserve">François Leguat, un huguenot </w:t>
      </w:r>
      <w:r w:rsidR="00DB6270">
        <w:rPr>
          <w:rFonts w:asciiTheme="minorHAnsi" w:hAnsiTheme="minorHAnsi" w:cstheme="minorHAnsi"/>
          <w:sz w:val="24"/>
          <w:szCs w:val="24"/>
          <w:u w:val="single"/>
        </w:rPr>
        <w:t>en exil</w:t>
      </w:r>
      <w:r>
        <w:rPr>
          <w:rFonts w:asciiTheme="minorHAnsi" w:hAnsiTheme="minorHAnsi" w:cstheme="minorHAnsi"/>
          <w:sz w:val="24"/>
          <w:szCs w:val="24"/>
          <w:u w:val="single"/>
        </w:rPr>
        <w:t xml:space="preserve"> (1637-1735)</w:t>
      </w:r>
    </w:p>
    <w:p w14:paraId="396EAEEB" w14:textId="663941E3"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3DA19D79" w14:textId="673CB718" w:rsidR="00F623A0" w:rsidRDefault="00F623A0" w:rsidP="00F623A0">
      <w:pPr>
        <w:pStyle w:val="Titre1"/>
        <w:spacing w:before="0" w:beforeAutospacing="0" w:after="0" w:afterAutospacing="0"/>
        <w:rPr>
          <w:rFonts w:asciiTheme="minorHAnsi" w:hAnsiTheme="minorHAnsi" w:cstheme="minorHAnsi"/>
          <w:sz w:val="24"/>
          <w:szCs w:val="24"/>
        </w:rPr>
      </w:pPr>
      <w:r w:rsidRPr="00F623A0">
        <w:rPr>
          <w:rFonts w:asciiTheme="minorHAnsi" w:hAnsiTheme="minorHAnsi" w:cstheme="minorHAnsi"/>
          <w:sz w:val="24"/>
          <w:szCs w:val="24"/>
        </w:rPr>
        <w:t>Programme de recherche dirigé par l’association Histoire et Patrimoine, dans le cadre de l’union Patrimoine des Pays de l’Ain</w:t>
      </w:r>
      <w:r w:rsidR="00DB6270">
        <w:rPr>
          <w:rFonts w:asciiTheme="minorHAnsi" w:hAnsiTheme="minorHAnsi" w:cstheme="minorHAnsi"/>
          <w:sz w:val="24"/>
          <w:szCs w:val="24"/>
        </w:rPr>
        <w:t>, dirigée par Christophe Greffet</w:t>
      </w:r>
    </w:p>
    <w:p w14:paraId="1F48F2F4" w14:textId="4C9D4F4F" w:rsidR="00DB6270" w:rsidRDefault="00DB6270" w:rsidP="00F623A0">
      <w:pPr>
        <w:pStyle w:val="Titre1"/>
        <w:spacing w:before="0" w:beforeAutospacing="0" w:after="0" w:afterAutospacing="0"/>
        <w:rPr>
          <w:rFonts w:asciiTheme="minorHAnsi" w:hAnsiTheme="minorHAnsi" w:cstheme="minorHAnsi"/>
          <w:sz w:val="24"/>
          <w:szCs w:val="24"/>
        </w:rPr>
      </w:pPr>
    </w:p>
    <w:p w14:paraId="4090D593" w14:textId="44CAABA8" w:rsidR="00F623A0" w:rsidRPr="007C0309" w:rsidRDefault="00DB6270" w:rsidP="004D4ECB">
      <w:pPr>
        <w:pStyle w:val="Titre1"/>
        <w:tabs>
          <w:tab w:val="left" w:pos="567"/>
        </w:tabs>
        <w:spacing w:before="0" w:beforeAutospacing="0" w:after="0" w:afterAutospacing="0"/>
        <w:ind w:firstLine="567"/>
        <w:jc w:val="both"/>
        <w:rPr>
          <w:rFonts w:asciiTheme="minorHAnsi" w:hAnsiTheme="minorHAnsi" w:cstheme="minorHAnsi"/>
          <w:b w:val="0"/>
          <w:bCs w:val="0"/>
          <w:sz w:val="24"/>
          <w:szCs w:val="24"/>
        </w:rPr>
      </w:pPr>
      <w:r w:rsidRPr="007C0309">
        <w:rPr>
          <w:rFonts w:asciiTheme="minorHAnsi" w:hAnsiTheme="minorHAnsi" w:cstheme="minorHAnsi"/>
          <w:b w:val="0"/>
          <w:bCs w:val="0"/>
          <w:sz w:val="24"/>
          <w:szCs w:val="24"/>
        </w:rPr>
        <w:t>François Leguat est un écuyer huguenot français originaire de Bresse. Après la révocation de l’édit de Nantes (1685), il quitte ses terres pour rejoindre Amsterdam en 1689. Il y rencontre Henri Du Quesne, avec lequel il conçoit une vaste expédition vers l’île de Mascareigne (La Réunion)</w:t>
      </w:r>
      <w:r w:rsidR="000C579E">
        <w:rPr>
          <w:rFonts w:asciiTheme="minorHAnsi" w:hAnsiTheme="minorHAnsi" w:cstheme="minorHAnsi"/>
          <w:b w:val="0"/>
          <w:bCs w:val="0"/>
          <w:sz w:val="24"/>
          <w:szCs w:val="24"/>
        </w:rPr>
        <w:t xml:space="preserve"> pour découvrir ce qu’ils appellent « l’Eden », un territoire vierge propre à accueillir des colons protestants</w:t>
      </w:r>
      <w:r w:rsidRPr="007C0309">
        <w:rPr>
          <w:rFonts w:asciiTheme="minorHAnsi" w:hAnsiTheme="minorHAnsi" w:cstheme="minorHAnsi"/>
          <w:b w:val="0"/>
          <w:bCs w:val="0"/>
          <w:sz w:val="24"/>
          <w:szCs w:val="24"/>
        </w:rPr>
        <w:t xml:space="preserve">. </w:t>
      </w:r>
      <w:r w:rsidR="000C579E">
        <w:rPr>
          <w:rFonts w:asciiTheme="minorHAnsi" w:hAnsiTheme="minorHAnsi" w:cstheme="minorHAnsi"/>
          <w:b w:val="0"/>
          <w:bCs w:val="0"/>
          <w:sz w:val="24"/>
          <w:szCs w:val="24"/>
        </w:rPr>
        <w:t>I</w:t>
      </w:r>
      <w:r w:rsidRPr="007C0309">
        <w:rPr>
          <w:rFonts w:asciiTheme="minorHAnsi" w:hAnsiTheme="minorHAnsi" w:cstheme="minorHAnsi"/>
          <w:b w:val="0"/>
          <w:bCs w:val="0"/>
          <w:sz w:val="24"/>
          <w:szCs w:val="24"/>
        </w:rPr>
        <w:t>l part avec une dizaine de coreligionnaires et établit une colonie à Rodrigue</w:t>
      </w:r>
      <w:r w:rsidR="008723E2" w:rsidRPr="007C0309">
        <w:rPr>
          <w:rFonts w:asciiTheme="minorHAnsi" w:hAnsiTheme="minorHAnsi" w:cstheme="minorHAnsi"/>
          <w:b w:val="0"/>
          <w:bCs w:val="0"/>
          <w:sz w:val="24"/>
          <w:szCs w:val="24"/>
        </w:rPr>
        <w:t xml:space="preserve">s. Il y reste deux ans avant de repartir vers l’île Maurice, où il est emprisonné pendant de longs mois. Il rentre finalement en Europe en 1698 et s’installe à Londres. Il </w:t>
      </w:r>
      <w:r w:rsidR="000C579E">
        <w:rPr>
          <w:rFonts w:asciiTheme="minorHAnsi" w:hAnsiTheme="minorHAnsi" w:cstheme="minorHAnsi"/>
          <w:b w:val="0"/>
          <w:bCs w:val="0"/>
          <w:sz w:val="24"/>
          <w:szCs w:val="24"/>
        </w:rPr>
        <w:t xml:space="preserve">y </w:t>
      </w:r>
      <w:r w:rsidR="008723E2" w:rsidRPr="007C0309">
        <w:rPr>
          <w:rFonts w:asciiTheme="minorHAnsi" w:hAnsiTheme="minorHAnsi" w:cstheme="minorHAnsi"/>
          <w:b w:val="0"/>
          <w:bCs w:val="0"/>
          <w:sz w:val="24"/>
          <w:szCs w:val="24"/>
        </w:rPr>
        <w:t xml:space="preserve">publie son </w:t>
      </w:r>
      <w:r w:rsidR="008723E2" w:rsidRPr="007C0309">
        <w:rPr>
          <w:rFonts w:asciiTheme="minorHAnsi" w:hAnsiTheme="minorHAnsi" w:cstheme="minorHAnsi"/>
          <w:b w:val="0"/>
          <w:bCs w:val="0"/>
          <w:i/>
          <w:iCs/>
          <w:sz w:val="24"/>
          <w:szCs w:val="24"/>
        </w:rPr>
        <w:t>Voyage et avantures de François Leguat &amp; de ses compagnons, en deux isles desertes des Indes orientales</w:t>
      </w:r>
      <w:r w:rsidR="008723E2" w:rsidRPr="007C0309">
        <w:rPr>
          <w:rFonts w:asciiTheme="minorHAnsi" w:hAnsiTheme="minorHAnsi" w:cstheme="minorHAnsi"/>
          <w:b w:val="0"/>
          <w:bCs w:val="0"/>
          <w:sz w:val="24"/>
          <w:szCs w:val="24"/>
        </w:rPr>
        <w:t xml:space="preserve">, Amsterdam, Jean Louis de Lorme, 2 vol., 1708 ; rééd. Londres, David Mortier, 2 vol., 1720. Le texte </w:t>
      </w:r>
      <w:r w:rsidR="00496C30">
        <w:rPr>
          <w:rFonts w:asciiTheme="minorHAnsi" w:hAnsiTheme="minorHAnsi" w:cstheme="minorHAnsi"/>
          <w:b w:val="0"/>
          <w:bCs w:val="0"/>
          <w:sz w:val="24"/>
          <w:szCs w:val="24"/>
        </w:rPr>
        <w:t>a été traduit</w:t>
      </w:r>
      <w:r w:rsidR="008723E2" w:rsidRPr="007C0309">
        <w:rPr>
          <w:rFonts w:asciiTheme="minorHAnsi" w:hAnsiTheme="minorHAnsi" w:cstheme="minorHAnsi"/>
          <w:b w:val="0"/>
          <w:bCs w:val="0"/>
          <w:sz w:val="24"/>
          <w:szCs w:val="24"/>
        </w:rPr>
        <w:t xml:space="preserve"> en 1708 en néerlandais et en 1723 en anglais. Ce </w:t>
      </w:r>
      <w:r w:rsidR="00496C30">
        <w:rPr>
          <w:rFonts w:asciiTheme="minorHAnsi" w:hAnsiTheme="minorHAnsi" w:cstheme="minorHAnsi"/>
          <w:b w:val="0"/>
          <w:bCs w:val="0"/>
          <w:sz w:val="24"/>
          <w:szCs w:val="24"/>
        </w:rPr>
        <w:t>récit</w:t>
      </w:r>
      <w:r w:rsidR="008723E2" w:rsidRPr="007C0309">
        <w:rPr>
          <w:rFonts w:asciiTheme="minorHAnsi" w:hAnsiTheme="minorHAnsi" w:cstheme="minorHAnsi"/>
          <w:b w:val="0"/>
          <w:bCs w:val="0"/>
          <w:sz w:val="24"/>
          <w:szCs w:val="24"/>
        </w:rPr>
        <w:t xml:space="preserve"> passionnant traduit la foi réformée de Leguat et son désir </w:t>
      </w:r>
      <w:r w:rsidR="007C0309" w:rsidRPr="007C0309">
        <w:rPr>
          <w:rFonts w:asciiTheme="minorHAnsi" w:hAnsiTheme="minorHAnsi" w:cstheme="minorHAnsi"/>
          <w:b w:val="0"/>
          <w:bCs w:val="0"/>
          <w:sz w:val="24"/>
          <w:szCs w:val="24"/>
        </w:rPr>
        <w:t xml:space="preserve">de découvrir des nouvelles terres pour y implanter une colonie protestante. Le contenu du livre, décrivant </w:t>
      </w:r>
      <w:r w:rsidR="00496C30">
        <w:rPr>
          <w:rFonts w:asciiTheme="minorHAnsi" w:hAnsiTheme="minorHAnsi" w:cstheme="minorHAnsi"/>
          <w:b w:val="0"/>
          <w:bCs w:val="0"/>
          <w:sz w:val="24"/>
          <w:szCs w:val="24"/>
        </w:rPr>
        <w:t xml:space="preserve">non seulement </w:t>
      </w:r>
      <w:r w:rsidR="007C0309" w:rsidRPr="007C0309">
        <w:rPr>
          <w:rFonts w:asciiTheme="minorHAnsi" w:hAnsiTheme="minorHAnsi" w:cstheme="minorHAnsi"/>
          <w:b w:val="0"/>
          <w:bCs w:val="0"/>
          <w:sz w:val="24"/>
          <w:szCs w:val="24"/>
        </w:rPr>
        <w:t xml:space="preserve">les côtes, les îles, la faune et la flore, mais aussi les efforts déployés pour construire une colonie, a donné lieu à de nombreux débats aux XVIIIè et XIXè siècles. </w:t>
      </w:r>
      <w:r w:rsidR="007C0309">
        <w:rPr>
          <w:rFonts w:asciiTheme="minorHAnsi" w:hAnsiTheme="minorHAnsi" w:cstheme="minorHAnsi"/>
          <w:b w:val="0"/>
          <w:bCs w:val="0"/>
          <w:sz w:val="24"/>
          <w:szCs w:val="24"/>
        </w:rPr>
        <w:t>Le groupe de recherche travaille actuellement à une série de conférences et à un</w:t>
      </w:r>
      <w:r w:rsidR="00496C30">
        <w:rPr>
          <w:rFonts w:asciiTheme="minorHAnsi" w:hAnsiTheme="minorHAnsi" w:cstheme="minorHAnsi"/>
          <w:b w:val="0"/>
          <w:bCs w:val="0"/>
          <w:sz w:val="24"/>
          <w:szCs w:val="24"/>
        </w:rPr>
        <w:t xml:space="preserve"> ouvrage </w:t>
      </w:r>
      <w:r w:rsidR="007C0309">
        <w:rPr>
          <w:rFonts w:asciiTheme="minorHAnsi" w:hAnsiTheme="minorHAnsi" w:cstheme="minorHAnsi"/>
          <w:b w:val="0"/>
          <w:bCs w:val="0"/>
          <w:sz w:val="24"/>
          <w:szCs w:val="24"/>
        </w:rPr>
        <w:t xml:space="preserve">retraçant la vie longue et mouvementée de François Leguat. </w:t>
      </w:r>
    </w:p>
    <w:p w14:paraId="11FF434A" w14:textId="77777777" w:rsidR="00F623A0" w:rsidRDefault="00F623A0" w:rsidP="00000C3B">
      <w:pPr>
        <w:pStyle w:val="Titre1"/>
        <w:spacing w:before="0" w:beforeAutospacing="0" w:after="0" w:afterAutospacing="0"/>
        <w:rPr>
          <w:rFonts w:asciiTheme="minorHAnsi" w:hAnsiTheme="minorHAnsi" w:cstheme="minorHAnsi"/>
          <w:sz w:val="24"/>
          <w:szCs w:val="24"/>
          <w:u w:val="single"/>
        </w:rPr>
      </w:pPr>
    </w:p>
    <w:p w14:paraId="0EF96873" w14:textId="77777777"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4DEFAE09" w14:textId="08C52A6E"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r w:rsidRPr="00C63036">
        <w:rPr>
          <w:rFonts w:asciiTheme="minorHAnsi" w:hAnsiTheme="minorHAnsi" w:cstheme="minorHAnsi"/>
          <w:sz w:val="24"/>
          <w:szCs w:val="24"/>
          <w:u w:val="single"/>
        </w:rPr>
        <w:t>Concorde et discorde (XVIè siècle)</w:t>
      </w:r>
    </w:p>
    <w:p w14:paraId="7EF46476" w14:textId="77777777" w:rsidR="00F623A0" w:rsidRPr="00C63036"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00BEF0DE" w14:textId="77777777" w:rsidR="00F623A0" w:rsidRDefault="00F623A0" w:rsidP="00F623A0">
      <w:pPr>
        <w:jc w:val="both"/>
        <w:rPr>
          <w:rFonts w:eastAsia="Times New Roman" w:cstheme="minorHAnsi"/>
          <w:b/>
          <w:bCs/>
          <w:lang w:eastAsia="fr-FR"/>
        </w:rPr>
      </w:pPr>
      <w:r w:rsidRPr="00C63036">
        <w:rPr>
          <w:rFonts w:eastAsia="Times New Roman" w:cstheme="minorHAnsi"/>
          <w:b/>
          <w:bCs/>
          <w:lang w:eastAsia="fr-FR"/>
        </w:rPr>
        <w:t>Programme de recherche dirigé par Stéphan Geonget, CESR de Tours</w:t>
      </w:r>
    </w:p>
    <w:p w14:paraId="382B1AA3" w14:textId="77777777" w:rsidR="00F623A0" w:rsidRPr="00C63036" w:rsidRDefault="00F623A0" w:rsidP="00F623A0">
      <w:pPr>
        <w:jc w:val="both"/>
        <w:rPr>
          <w:rFonts w:eastAsia="Times New Roman" w:cstheme="minorHAnsi"/>
          <w:lang w:eastAsia="fr-FR"/>
        </w:rPr>
      </w:pPr>
    </w:p>
    <w:p w14:paraId="68A9BC93"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Saint Augustin dit de la paix qu’elle est une « concorde raisonnable » (</w:t>
      </w:r>
      <w:r w:rsidRPr="00C63036">
        <w:rPr>
          <w:rFonts w:eastAsia="Times New Roman" w:cstheme="minorHAnsi"/>
          <w:i/>
          <w:iCs/>
          <w:lang w:eastAsia="fr-FR"/>
        </w:rPr>
        <w:t>ordinata concordia</w:t>
      </w:r>
      <w:r w:rsidRPr="00C63036">
        <w:rPr>
          <w:rFonts w:eastAsia="Times New Roman" w:cstheme="minorHAnsi"/>
          <w:lang w:eastAsia="fr-FR"/>
        </w:rPr>
        <w:t>). Cette conception n’est pas oubliée à la Renaissance : nombreux sont ceux qui, au cours des guerres civiles, mettent au centre de leur réflexion cette union des cœurs que désigne étymologiquement la concorde. Louis Le Caron évoque en ce sens la recherche d’une « paisible concorde » et Du Moulin en mentionne les modalités pratiques (</w:t>
      </w:r>
      <w:r w:rsidRPr="00C63036">
        <w:rPr>
          <w:rFonts w:eastAsia="Times New Roman" w:cstheme="minorHAnsi"/>
          <w:i/>
          <w:iCs/>
          <w:lang w:eastAsia="fr-FR"/>
        </w:rPr>
        <w:t>Oratio de concordia</w:t>
      </w:r>
      <w:r w:rsidRPr="00C63036">
        <w:rPr>
          <w:rFonts w:eastAsia="Times New Roman" w:cstheme="minorHAnsi"/>
          <w:lang w:eastAsia="fr-FR"/>
        </w:rPr>
        <w:t>, 1546).</w:t>
      </w:r>
    </w:p>
    <w:p w14:paraId="52B44525"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Mais la concorde n’est pas la paix. Cette dernière n’est que la condition pour qu’une concorde s’installe. La concorde, elle, permet à l’harmonie de s’installer et de durer dans le temps. Le contexte européen de la Renaissance (du xv</w:t>
      </w:r>
      <w:r w:rsidRPr="00C63036">
        <w:rPr>
          <w:rFonts w:eastAsia="Times New Roman" w:cstheme="minorHAnsi"/>
          <w:vertAlign w:val="superscript"/>
          <w:lang w:eastAsia="fr-FR"/>
        </w:rPr>
        <w:t>e</w:t>
      </w:r>
      <w:r w:rsidRPr="00C63036">
        <w:rPr>
          <w:rFonts w:eastAsia="Times New Roman" w:cstheme="minorHAnsi"/>
          <w:lang w:eastAsia="fr-FR"/>
        </w:rPr>
        <w:t xml:space="preserve"> au milieu du xvii</w:t>
      </w:r>
      <w:r w:rsidRPr="00C63036">
        <w:rPr>
          <w:rFonts w:eastAsia="Times New Roman" w:cstheme="minorHAnsi"/>
          <w:vertAlign w:val="superscript"/>
          <w:lang w:eastAsia="fr-FR"/>
        </w:rPr>
        <w:t>e</w:t>
      </w:r>
      <w:r w:rsidRPr="00C63036">
        <w:rPr>
          <w:rFonts w:eastAsia="Times New Roman" w:cstheme="minorHAnsi"/>
          <w:lang w:eastAsia="fr-FR"/>
        </w:rPr>
        <w:t> siècle) permet sans doute de comprendre la présence accrue de cette notion de concorde, qu’il ne faudrait pas réduire à une réponse à l’esprit belliqueux supposé du temps. Quand, dans l’Italie de la toute fin du xvi</w:t>
      </w:r>
      <w:r w:rsidRPr="00C63036">
        <w:rPr>
          <w:rFonts w:eastAsia="Times New Roman" w:cstheme="minorHAnsi"/>
          <w:vertAlign w:val="superscript"/>
          <w:lang w:eastAsia="fr-FR"/>
        </w:rPr>
        <w:t>e</w:t>
      </w:r>
      <w:r w:rsidRPr="00C63036">
        <w:rPr>
          <w:rFonts w:eastAsia="Times New Roman" w:cstheme="minorHAnsi"/>
          <w:lang w:eastAsia="fr-FR"/>
        </w:rPr>
        <w:t xml:space="preserve"> siècle presque pacifiée sous la domination espagnole, on imprime la traduction d’un </w:t>
      </w:r>
      <w:r w:rsidRPr="00C63036">
        <w:rPr>
          <w:rFonts w:eastAsia="Times New Roman" w:cstheme="minorHAnsi"/>
          <w:lang w:eastAsia="fr-FR"/>
        </w:rPr>
        <w:lastRenderedPageBreak/>
        <w:t>traité que Lodovico Carbone avait rédigé un siècle plus tôt et qu’il consacrait à l’amour et à la concorde fraternelle, c’est un véritable projet de société qui est proposé pour prévenir toute discorde par la promotion de nouvelles règles de vie. De l’Angleterre à l’Italie, de la péninsule Ibérique au Saint-Empire, on observe alors la diffusion de la métaphore musicale pour décrire le fonctionnement des États et des sociétés : la concorde, c’est aussi l’harmonie produite par l’accord consonnant, qu’il s’agit donc de rechercher.</w:t>
      </w:r>
    </w:p>
    <w:p w14:paraId="68CD6BF0"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Attirant notre attention sur le xvi</w:t>
      </w:r>
      <w:r w:rsidRPr="00C63036">
        <w:rPr>
          <w:rFonts w:eastAsia="Times New Roman" w:cstheme="minorHAnsi"/>
          <w:vertAlign w:val="superscript"/>
          <w:lang w:eastAsia="fr-FR"/>
        </w:rPr>
        <w:t>e</w:t>
      </w:r>
      <w:r w:rsidRPr="00C63036">
        <w:rPr>
          <w:rFonts w:eastAsia="Times New Roman" w:cstheme="minorHAnsi"/>
          <w:lang w:eastAsia="fr-FR"/>
        </w:rPr>
        <w:t> siècle comme moment de reconfiguration des représentations politiques, Jean Nagle a proposé de parler de « civilisation du cœur » pour écrire son histoire du sentiment politique en France du xii</w:t>
      </w:r>
      <w:r w:rsidRPr="00C63036">
        <w:rPr>
          <w:rFonts w:eastAsia="Times New Roman" w:cstheme="minorHAnsi"/>
          <w:vertAlign w:val="superscript"/>
          <w:lang w:eastAsia="fr-FR"/>
        </w:rPr>
        <w:t>e</w:t>
      </w:r>
      <w:r w:rsidRPr="00C63036">
        <w:rPr>
          <w:rFonts w:eastAsia="Times New Roman" w:cstheme="minorHAnsi"/>
          <w:lang w:eastAsia="fr-FR"/>
        </w:rPr>
        <w:t xml:space="preserve"> au xix</w:t>
      </w:r>
      <w:r w:rsidRPr="00C63036">
        <w:rPr>
          <w:rFonts w:eastAsia="Times New Roman" w:cstheme="minorHAnsi"/>
          <w:vertAlign w:val="superscript"/>
          <w:lang w:eastAsia="fr-FR"/>
        </w:rPr>
        <w:t>e</w:t>
      </w:r>
      <w:r w:rsidRPr="00C63036">
        <w:rPr>
          <w:rFonts w:eastAsia="Times New Roman" w:cstheme="minorHAnsi"/>
          <w:lang w:eastAsia="fr-FR"/>
        </w:rPr>
        <w:t xml:space="preserve"> siècle et définir ainsi un « ordre cordial » qui n’est pas sans rapport avec un ordre féodal construit sur le don de soi. Des historiens ont par le passé attiré l’attention sur cette thématique importante du « cœur », comme Mario Turchetti à propos des « moyenneurs » ou Olivier Christin pour les « paix de religion ».</w:t>
      </w:r>
    </w:p>
    <w:p w14:paraId="2BB2CBAD"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Mais le terme même de « concorde » mérite, nous semble-t-il, de nouvelles investigations. Que veut dire par exemple Jean Lemaire de Belges quand il parle de </w:t>
      </w:r>
      <w:r w:rsidRPr="00C63036">
        <w:rPr>
          <w:rFonts w:eastAsia="Times New Roman" w:cstheme="minorHAnsi"/>
          <w:i/>
          <w:iCs/>
          <w:lang w:eastAsia="fr-FR"/>
        </w:rPr>
        <w:t>La concorde du genre humain</w:t>
      </w:r>
      <w:r w:rsidRPr="00C63036">
        <w:rPr>
          <w:rFonts w:eastAsia="Times New Roman" w:cstheme="minorHAnsi"/>
          <w:lang w:eastAsia="fr-FR"/>
        </w:rPr>
        <w:t> ? « Paix fut trouvée et Concorde tissue, / Dont le doulx fruict de desirée yssue / A partury nostre dame et princesse / Si s’en deult trop l’infernalle sansue / Et de fremir mal contente ne cesse ».</w:t>
      </w:r>
    </w:p>
    <w:p w14:paraId="053C7E7F"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*1 : Tout d’abord, une réflexion sur les représentations allégoriques de la concorde semble nécessaire. Dès le xv</w:t>
      </w:r>
      <w:r w:rsidRPr="00C63036">
        <w:rPr>
          <w:rFonts w:eastAsia="Times New Roman" w:cstheme="minorHAnsi"/>
          <w:vertAlign w:val="superscript"/>
          <w:lang w:eastAsia="fr-FR"/>
        </w:rPr>
        <w:t>e</w:t>
      </w:r>
      <w:r w:rsidRPr="00C63036">
        <w:rPr>
          <w:rFonts w:eastAsia="Times New Roman" w:cstheme="minorHAnsi"/>
          <w:lang w:eastAsia="fr-FR"/>
        </w:rPr>
        <w:t xml:space="preserve"> siècle, et plus encore pendant les crises religieuses et politiques du xvi</w:t>
      </w:r>
      <w:r w:rsidRPr="00C63036">
        <w:rPr>
          <w:rFonts w:eastAsia="Times New Roman" w:cstheme="minorHAnsi"/>
          <w:vertAlign w:val="superscript"/>
          <w:lang w:eastAsia="fr-FR"/>
        </w:rPr>
        <w:t>e</w:t>
      </w:r>
      <w:r w:rsidRPr="00C63036">
        <w:rPr>
          <w:rFonts w:eastAsia="Times New Roman" w:cstheme="minorHAnsi"/>
          <w:lang w:eastAsia="fr-FR"/>
        </w:rPr>
        <w:t xml:space="preserve"> siècle, des représentations visuelles et poétiques de la concorde se multiplient sous la forme d’emblèmes (Alciat, 1548 ; Corrozet, 1543) ou d’incitations à la paix (remontrances). Il faut alors comparer les représentations de la concorde dans leurs rapports avec celles de la discorde, et les distinguer aussi des représentations allégoriques de la paix.</w:t>
      </w:r>
    </w:p>
    <w:p w14:paraId="7CCD8F05"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*2 : De plus, dans la continuité des travaux sur Claude d’Espence, il est possible de s’interroger sur les traductions théologiques et ecclésiologiques de la concorde. Une réflexion sur la formalisation de la concorde, à commencer par les efforts du colloque de Poissy (1561) ou la </w:t>
      </w:r>
      <w:r w:rsidRPr="00C63036">
        <w:rPr>
          <w:rFonts w:eastAsia="Times New Roman" w:cstheme="minorHAnsi"/>
          <w:i/>
          <w:iCs/>
          <w:lang w:eastAsia="fr-FR"/>
        </w:rPr>
        <w:t xml:space="preserve">Formula concordiae </w:t>
      </w:r>
      <w:r w:rsidRPr="00C63036">
        <w:rPr>
          <w:rFonts w:eastAsia="Times New Roman" w:cstheme="minorHAnsi"/>
          <w:lang w:eastAsia="fr-FR"/>
        </w:rPr>
        <w:t xml:space="preserve">de 1577, permettrait d’observer les traductions théologiques, juridiques et politiques de la concorde, dans la continuité des recherches de Paolo Prodi, sans oublier que la </w:t>
      </w:r>
      <w:r w:rsidRPr="00C63036">
        <w:rPr>
          <w:rFonts w:eastAsia="Times New Roman" w:cstheme="minorHAnsi"/>
          <w:i/>
          <w:iCs/>
          <w:lang w:eastAsia="fr-FR"/>
        </w:rPr>
        <w:t>concordia</w:t>
      </w:r>
      <w:r w:rsidRPr="00C63036">
        <w:rPr>
          <w:rFonts w:eastAsia="Times New Roman" w:cstheme="minorHAnsi"/>
          <w:lang w:eastAsia="fr-FR"/>
        </w:rPr>
        <w:t xml:space="preserve"> s’impose dans les réflexions bien en amont du V</w:t>
      </w:r>
      <w:r w:rsidRPr="00C63036">
        <w:rPr>
          <w:rFonts w:eastAsia="Times New Roman" w:cstheme="minorHAnsi"/>
          <w:vertAlign w:val="superscript"/>
          <w:lang w:eastAsia="fr-FR"/>
        </w:rPr>
        <w:t>e</w:t>
      </w:r>
      <w:r w:rsidRPr="00C63036">
        <w:rPr>
          <w:rFonts w:eastAsia="Times New Roman" w:cstheme="minorHAnsi"/>
          <w:lang w:eastAsia="fr-FR"/>
        </w:rPr>
        <w:t xml:space="preserve"> concile de Latran.</w:t>
      </w:r>
    </w:p>
    <w:p w14:paraId="74F4BE8E"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*3 : En outre, la tolérance et le groupe des « moyenneurs », étudiés par Mario Turchetti, mériteraient d’être interrogés à nouveaux frais. Dans quelle mesure l’idéal de concorde, partagé par les différents camps pendant les conflits, conduit-il à dessiner les contours d’une paix durable ? À l’inverse, comment la discorde parvient-elle à s’imposer, dans certaines conditions (par ex. la « guerre juste »), même chez les partisans de la paix ?</w:t>
      </w:r>
    </w:p>
    <w:p w14:paraId="6C3F44A5" w14:textId="77777777" w:rsidR="00F623A0" w:rsidRDefault="00F623A0" w:rsidP="004D4ECB">
      <w:pPr>
        <w:ind w:firstLine="567"/>
        <w:jc w:val="both"/>
        <w:rPr>
          <w:rFonts w:eastAsia="Times New Roman" w:cstheme="minorHAnsi"/>
          <w:lang w:eastAsia="fr-FR"/>
        </w:rPr>
      </w:pPr>
      <w:r w:rsidRPr="00C63036">
        <w:rPr>
          <w:rFonts w:eastAsia="Times New Roman" w:cstheme="minorHAnsi"/>
          <w:lang w:eastAsia="fr-FR"/>
        </w:rPr>
        <w:t>*4 : Enfin, il convient d’envisager les moments de discorde et de crise comme des épisodes provisoires de crises politiques et religieuses, au sens où l’entend Michel Dobry, quand la conjoncture fluide des jeux sociopolitiques est créatrice de nouvelles normes et d’horizons d’attente redéfinis pour les groupes élitaires dans la lutte pour les places. La discorde teinte donc ces moments gris de guerres civiles et son étude permet de comprendre, à rebours, comment se retissent les fils de la concorde et partant de la paix.</w:t>
      </w:r>
    </w:p>
    <w:p w14:paraId="016AE0FA" w14:textId="2652BDFE" w:rsidR="000C1C1C" w:rsidRPr="00C63036" w:rsidRDefault="000C1C1C" w:rsidP="004D4ECB">
      <w:pPr>
        <w:ind w:firstLine="567"/>
        <w:jc w:val="both"/>
        <w:rPr>
          <w:rFonts w:eastAsia="Times New Roman" w:cstheme="minorHAnsi"/>
          <w:lang w:eastAsia="fr-FR"/>
        </w:rPr>
      </w:pPr>
      <w:r>
        <w:rPr>
          <w:rFonts w:eastAsia="Times New Roman" w:cstheme="minorHAnsi"/>
          <w:lang w:eastAsia="fr-FR"/>
        </w:rPr>
        <w:t xml:space="preserve">Suite à une journée d’étude organisée au CESR de Tours en 2023, le groupe prépare un premier volume. </w:t>
      </w:r>
    </w:p>
    <w:p w14:paraId="52395FE8" w14:textId="77777777" w:rsidR="00F623A0" w:rsidRPr="00C63036" w:rsidRDefault="00F623A0" w:rsidP="00F623A0">
      <w:pPr>
        <w:jc w:val="both"/>
        <w:rPr>
          <w:rFonts w:eastAsia="Times New Roman" w:cstheme="minorHAnsi"/>
          <w:lang w:eastAsia="fr-FR"/>
        </w:rPr>
      </w:pPr>
    </w:p>
    <w:p w14:paraId="7E212BC2" w14:textId="77777777" w:rsidR="00F623A0" w:rsidRPr="00C63036" w:rsidRDefault="00F623A0" w:rsidP="00F623A0">
      <w:pPr>
        <w:jc w:val="both"/>
        <w:rPr>
          <w:rFonts w:eastAsia="Times New Roman" w:cstheme="minorHAnsi"/>
          <w:lang w:eastAsia="fr-FR"/>
        </w:rPr>
      </w:pPr>
    </w:p>
    <w:p w14:paraId="5998A191" w14:textId="77777777" w:rsidR="00F623A0" w:rsidRPr="00C63036" w:rsidRDefault="00F623A0" w:rsidP="00F623A0">
      <w:pPr>
        <w:pStyle w:val="Titre1"/>
        <w:spacing w:before="0" w:beforeAutospacing="0" w:after="0" w:afterAutospacing="0"/>
        <w:jc w:val="center"/>
        <w:rPr>
          <w:rFonts w:asciiTheme="minorHAnsi" w:hAnsiTheme="minorHAnsi" w:cstheme="minorHAnsi"/>
          <w:sz w:val="24"/>
          <w:szCs w:val="24"/>
          <w:u w:val="single"/>
        </w:rPr>
      </w:pPr>
      <w:r w:rsidRPr="00C63036">
        <w:rPr>
          <w:rFonts w:asciiTheme="minorHAnsi" w:hAnsiTheme="minorHAnsi" w:cstheme="minorHAnsi"/>
          <w:sz w:val="24"/>
          <w:szCs w:val="24"/>
          <w:u w:val="single"/>
        </w:rPr>
        <w:t>Le Temps du roi : imaginaire et politique de la temporalité historique</w:t>
      </w:r>
    </w:p>
    <w:p w14:paraId="4F7B2DB0" w14:textId="77777777" w:rsidR="00F623A0" w:rsidRPr="00C63036" w:rsidRDefault="00F623A0" w:rsidP="00F623A0">
      <w:pPr>
        <w:pStyle w:val="Titre1"/>
        <w:spacing w:before="0" w:beforeAutospacing="0" w:after="0" w:afterAutospacing="0"/>
        <w:jc w:val="center"/>
        <w:rPr>
          <w:rFonts w:asciiTheme="minorHAnsi" w:hAnsiTheme="minorHAnsi" w:cstheme="minorHAnsi"/>
          <w:sz w:val="24"/>
          <w:szCs w:val="24"/>
          <w:u w:val="single"/>
        </w:rPr>
      </w:pPr>
      <w:r w:rsidRPr="00C63036">
        <w:rPr>
          <w:rFonts w:asciiTheme="minorHAnsi" w:hAnsiTheme="minorHAnsi" w:cstheme="minorHAnsi"/>
          <w:sz w:val="24"/>
          <w:szCs w:val="24"/>
          <w:u w:val="single"/>
        </w:rPr>
        <w:t>en France et en Europe (1580-1789)</w:t>
      </w:r>
    </w:p>
    <w:p w14:paraId="43949600" w14:textId="77777777" w:rsidR="00F623A0" w:rsidRPr="00C63036" w:rsidRDefault="00F623A0" w:rsidP="00F623A0">
      <w:pPr>
        <w:jc w:val="both"/>
        <w:rPr>
          <w:rFonts w:eastAsia="Times New Roman" w:cstheme="minorHAnsi"/>
          <w:lang w:eastAsia="fr-FR"/>
        </w:rPr>
      </w:pPr>
    </w:p>
    <w:p w14:paraId="364B4868" w14:textId="77777777" w:rsidR="00F623A0" w:rsidRDefault="00F623A0" w:rsidP="00F623A0">
      <w:pPr>
        <w:jc w:val="both"/>
        <w:rPr>
          <w:rFonts w:eastAsia="Times New Roman" w:cstheme="minorHAnsi"/>
          <w:b/>
          <w:bCs/>
          <w:lang w:eastAsia="fr-FR"/>
        </w:rPr>
      </w:pPr>
      <w:r w:rsidRPr="00C63036">
        <w:rPr>
          <w:rFonts w:eastAsia="Times New Roman" w:cstheme="minorHAnsi"/>
          <w:b/>
          <w:bCs/>
          <w:lang w:eastAsia="fr-FR"/>
        </w:rPr>
        <w:t>Programme de recherche dirigé par Delphine Reguig (Saint-Etienne, IHRIM-IUF)</w:t>
      </w:r>
    </w:p>
    <w:p w14:paraId="01257F6C" w14:textId="77777777" w:rsidR="00F623A0" w:rsidRPr="00C63036" w:rsidRDefault="00F623A0" w:rsidP="00F623A0">
      <w:pPr>
        <w:jc w:val="both"/>
        <w:rPr>
          <w:rFonts w:eastAsia="Times New Roman" w:cstheme="minorHAnsi"/>
          <w:lang w:eastAsia="fr-FR"/>
        </w:rPr>
      </w:pPr>
    </w:p>
    <w:p w14:paraId="16960A35" w14:textId="77777777" w:rsidR="00F623A0" w:rsidRPr="00235033"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Ce projet a l’ambition de mesurer à quel point la société française, voire européenne, évolue dans un cadre idéologique et imaginaire lié à l’exercice de la monarchie absolue telle qu’elle s’est constituée et affermie entre 1580 et 1789. Notre régime temporal est fondamentalement différent de celui de l’âge classique mais il dérive pourtant de la manière </w:t>
      </w:r>
      <w:r w:rsidRPr="00235033">
        <w:rPr>
          <w:rFonts w:eastAsia="Times New Roman" w:cstheme="minorHAnsi"/>
          <w:lang w:eastAsia="fr-FR"/>
        </w:rPr>
        <w:t>dont le discours sur l’histoire du pouvoir monarchique a été contraint de se transformer. Dans la période encadrée par les troubles des guerres civiles et la Révolution française, l’affirmation de la monarchie absolue a mis en crise la possibilité d’écrire son histoire : la gloire du roi, garante de la paix et de la stabilité du royaume, pouvait être montrée, notamment par les arts plastiques, mais ne pouvait plus être racontée, en raison des limites épistémique, éthique et rhétorique de l’éloge. L’hypothèse qui guide notre projet est que l’échec répété de l’historiographie royale a déplacé les modalités discursives du récit de l’histoire du roi. L’objectif est de mettre au jour un discours collectif qui, en lieu et place de ce récit, a déployé un imaginaire et une politique de la temporalité. Il s’agit de montrer quel a été le traitement d’un tel héritage et quel est son poids éventuel sur notre représentation actuelle de la temporalité.</w:t>
      </w:r>
    </w:p>
    <w:p w14:paraId="15126109" w14:textId="77777777" w:rsidR="00F623A0" w:rsidRPr="00235033" w:rsidRDefault="00F623A0" w:rsidP="004D4ECB">
      <w:pPr>
        <w:ind w:firstLine="567"/>
        <w:jc w:val="both"/>
        <w:rPr>
          <w:rFonts w:eastAsia="Times New Roman" w:cstheme="minorHAnsi"/>
          <w:lang w:eastAsia="fr-FR"/>
        </w:rPr>
      </w:pPr>
      <w:r w:rsidRPr="00235033">
        <w:rPr>
          <w:rFonts w:eastAsia="Times New Roman" w:cstheme="minorHAnsi"/>
          <w:lang w:eastAsia="fr-FR"/>
        </w:rPr>
        <w:t>Par sa nature même, ce projet exige une approche interdisciplinaire, recourant à la poétique, la rhétorique, l’histoire littéraire, la théorie littéraire, l’histoire, l’histoire des idées, l’histoire du droit, la philosophie, la théologie et la réflexivité historiographique sur ces disciplines. Coordonner ces différentes façons d’approcher « le Temps du roi » permettra :</w:t>
      </w:r>
    </w:p>
    <w:p w14:paraId="7D2143B6" w14:textId="77777777" w:rsidR="00F623A0" w:rsidRPr="00235033" w:rsidRDefault="00F623A0" w:rsidP="004D4ECB">
      <w:pPr>
        <w:ind w:firstLine="567"/>
        <w:jc w:val="both"/>
        <w:rPr>
          <w:rFonts w:eastAsia="Times New Roman" w:cstheme="minorHAnsi"/>
          <w:lang w:eastAsia="fr-FR"/>
        </w:rPr>
      </w:pPr>
      <w:r w:rsidRPr="00235033">
        <w:rPr>
          <w:rFonts w:eastAsia="Times New Roman" w:cstheme="minorHAnsi"/>
          <w:lang w:eastAsia="fr-FR"/>
        </w:rPr>
        <w:t>-de décrire la chronologie relative de la conceptualisation de la notion de Temps, dans la culture monarchique, en France, avec un aperçu vers la référence que représente l’Antiquité gréco-latine et une exploration de la permanence de ce paradigme jusqu’au XXIe siècle.</w:t>
      </w:r>
    </w:p>
    <w:p w14:paraId="002F9079" w14:textId="77777777" w:rsidR="00F623A0" w:rsidRPr="00235033" w:rsidRDefault="00F623A0" w:rsidP="004D4ECB">
      <w:pPr>
        <w:ind w:firstLine="567"/>
        <w:jc w:val="both"/>
        <w:rPr>
          <w:rFonts w:eastAsia="Times New Roman" w:cstheme="minorHAnsi"/>
          <w:lang w:eastAsia="fr-FR"/>
        </w:rPr>
      </w:pPr>
      <w:r w:rsidRPr="00235033">
        <w:rPr>
          <w:rFonts w:eastAsia="Times New Roman" w:cstheme="minorHAnsi"/>
          <w:lang w:eastAsia="fr-FR"/>
        </w:rPr>
        <w:t>-de rendre accessible la lecture d’une histoire alternative de la monarchie absolue à travers la mise en réseau, au moyen des outils fournis par les humanités numériques, de textes non narratifs, produits de genres évitant le récit successif de la narration historique (dictionnaires, correspondances, essais, parallèles, dialogues des morts, panégyriques du roi, discours académiques, traités…).</w:t>
      </w:r>
    </w:p>
    <w:p w14:paraId="3BC62AAE" w14:textId="77777777" w:rsidR="00F623A0" w:rsidRPr="00235033" w:rsidRDefault="00F623A0" w:rsidP="004D4ECB">
      <w:pPr>
        <w:ind w:firstLine="567"/>
        <w:jc w:val="both"/>
        <w:rPr>
          <w:rFonts w:eastAsia="Times New Roman" w:cstheme="minorHAnsi"/>
          <w:lang w:eastAsia="fr-FR"/>
        </w:rPr>
      </w:pPr>
      <w:r w:rsidRPr="00235033">
        <w:rPr>
          <w:rFonts w:eastAsia="Times New Roman" w:cstheme="minorHAnsi"/>
          <w:lang w:eastAsia="fr-FR"/>
        </w:rPr>
        <w:t>-de mettre en évidence des phénomènes spécifiques à la représentation de la temporalité et de la mémoire par les productions lettrées (imaginaire des époques, dramatisation de l’événement, construction de l’idée de modernité…).</w:t>
      </w:r>
    </w:p>
    <w:p w14:paraId="3C601BF2" w14:textId="77777777" w:rsidR="00F623A0" w:rsidRPr="00235033" w:rsidRDefault="00F623A0" w:rsidP="004D4ECB">
      <w:pPr>
        <w:ind w:firstLine="567"/>
        <w:jc w:val="both"/>
        <w:rPr>
          <w:rFonts w:eastAsia="Times New Roman" w:cstheme="minorHAnsi"/>
          <w:lang w:eastAsia="fr-FR"/>
        </w:rPr>
      </w:pPr>
      <w:r w:rsidRPr="00235033">
        <w:rPr>
          <w:rFonts w:eastAsia="Times New Roman" w:cstheme="minorHAnsi"/>
          <w:lang w:eastAsia="fr-FR"/>
        </w:rPr>
        <w:t>En insérant ces analyses dans une trame chronologique générale, il sera possible de décrire la constitution d’une idéologie du Temps qui tend à substituer à un établissement scientifique de l’histoire une configuration imaginaire de sa valeur.</w:t>
      </w:r>
    </w:p>
    <w:p w14:paraId="4E1CE6C2" w14:textId="77777777" w:rsidR="00F623A0" w:rsidRDefault="00F623A0" w:rsidP="00F623A0">
      <w:pPr>
        <w:jc w:val="both"/>
        <w:rPr>
          <w:rFonts w:eastAsia="Times New Roman" w:cstheme="minorHAnsi"/>
          <w:lang w:eastAsia="fr-FR"/>
        </w:rPr>
      </w:pPr>
    </w:p>
    <w:p w14:paraId="45CD8422" w14:textId="77777777" w:rsidR="00F623A0" w:rsidRPr="00C63036" w:rsidRDefault="00F623A0" w:rsidP="00F623A0">
      <w:pPr>
        <w:jc w:val="both"/>
        <w:rPr>
          <w:rFonts w:eastAsia="Times New Roman" w:cstheme="minorHAnsi"/>
          <w:lang w:eastAsia="fr-FR"/>
        </w:rPr>
      </w:pPr>
    </w:p>
    <w:p w14:paraId="7852D627" w14:textId="77777777"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r w:rsidRPr="00C63036">
        <w:rPr>
          <w:rFonts w:asciiTheme="minorHAnsi" w:hAnsiTheme="minorHAnsi" w:cstheme="minorHAnsi"/>
          <w:sz w:val="24"/>
          <w:szCs w:val="24"/>
          <w:u w:val="single"/>
        </w:rPr>
        <w:t>Editions critiques en cours</w:t>
      </w:r>
    </w:p>
    <w:p w14:paraId="1CEE9327" w14:textId="77777777" w:rsidR="00F623A0" w:rsidRPr="00C63036"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789F1D79" w14:textId="77777777" w:rsidR="00000C3B" w:rsidRPr="00000C3B" w:rsidRDefault="00000C3B" w:rsidP="00000C3B">
      <w:pPr>
        <w:jc w:val="both"/>
        <w:rPr>
          <w:rFonts w:eastAsia="Times New Roman" w:cstheme="minorHAnsi"/>
          <w:b/>
          <w:bCs/>
          <w:lang w:eastAsia="fr-FR"/>
        </w:rPr>
      </w:pPr>
      <w:r w:rsidRPr="00000C3B">
        <w:rPr>
          <w:rFonts w:eastAsia="Times New Roman" w:cstheme="minorHAnsi"/>
          <w:b/>
          <w:bCs/>
          <w:lang w:eastAsia="fr-FR"/>
        </w:rPr>
        <w:t xml:space="preserve">*Jean Calvin, </w:t>
      </w:r>
      <w:r w:rsidRPr="00000C3B">
        <w:rPr>
          <w:rFonts w:eastAsia="Times New Roman" w:cstheme="minorHAnsi"/>
          <w:b/>
          <w:bCs/>
          <w:i/>
          <w:iCs/>
          <w:lang w:eastAsia="fr-FR"/>
        </w:rPr>
        <w:t>Le traité des reliques…</w:t>
      </w:r>
      <w:r w:rsidRPr="00000C3B">
        <w:rPr>
          <w:rFonts w:eastAsia="Times New Roman" w:cstheme="minorHAnsi"/>
          <w:b/>
          <w:bCs/>
          <w:lang w:eastAsia="fr-FR"/>
        </w:rPr>
        <w:t xml:space="preserve"> (1542). </w:t>
      </w:r>
    </w:p>
    <w:p w14:paraId="691B7E58" w14:textId="77777777" w:rsidR="000C579E" w:rsidRDefault="000C579E" w:rsidP="00000C3B">
      <w:pPr>
        <w:jc w:val="both"/>
        <w:rPr>
          <w:rFonts w:eastAsia="Times New Roman" w:cstheme="minorHAnsi"/>
          <w:b/>
          <w:bCs/>
          <w:lang w:eastAsia="fr-FR"/>
        </w:rPr>
      </w:pPr>
    </w:p>
    <w:p w14:paraId="0B3AA1A6" w14:textId="07A1E6AF" w:rsidR="00000C3B" w:rsidRPr="00000C3B" w:rsidRDefault="00000C3B" w:rsidP="00000C3B">
      <w:pPr>
        <w:jc w:val="both"/>
        <w:rPr>
          <w:rFonts w:eastAsia="Times New Roman" w:cstheme="minorHAnsi"/>
          <w:b/>
          <w:bCs/>
          <w:lang w:eastAsia="fr-FR"/>
        </w:rPr>
      </w:pPr>
      <w:r w:rsidRPr="00000C3B">
        <w:rPr>
          <w:rFonts w:eastAsia="Times New Roman" w:cstheme="minorHAnsi"/>
          <w:b/>
          <w:bCs/>
          <w:lang w:eastAsia="fr-FR"/>
        </w:rPr>
        <w:t xml:space="preserve">Préparation d’une édition critique du </w:t>
      </w:r>
      <w:r w:rsidRPr="00000C3B">
        <w:rPr>
          <w:rFonts w:eastAsia="Times New Roman" w:cstheme="minorHAnsi"/>
          <w:b/>
          <w:bCs/>
          <w:i/>
          <w:iCs/>
          <w:lang w:eastAsia="fr-FR"/>
        </w:rPr>
        <w:t>Traité des reliques…</w:t>
      </w:r>
      <w:r w:rsidRPr="00000C3B">
        <w:rPr>
          <w:rFonts w:eastAsia="Times New Roman" w:cstheme="minorHAnsi"/>
          <w:b/>
          <w:bCs/>
          <w:lang w:eastAsia="fr-FR"/>
        </w:rPr>
        <w:t>, texte de Jean Calvin publié en 1542. En collaboration avec Luce Albert (Angers) et Nicolas Balsamo (Neuchâtel).</w:t>
      </w:r>
    </w:p>
    <w:p w14:paraId="635805FD" w14:textId="67214306" w:rsidR="00000C3B" w:rsidRPr="00C63036" w:rsidRDefault="00000C3B" w:rsidP="004D4ECB">
      <w:pPr>
        <w:ind w:firstLine="567"/>
        <w:jc w:val="both"/>
        <w:rPr>
          <w:rFonts w:eastAsia="Times New Roman" w:cstheme="minorHAnsi"/>
          <w:lang w:eastAsia="fr-FR"/>
        </w:rPr>
      </w:pPr>
      <w:r>
        <w:rPr>
          <w:rFonts w:eastAsia="Times New Roman" w:cstheme="minorHAnsi"/>
          <w:lang w:eastAsia="fr-FR"/>
        </w:rPr>
        <w:t xml:space="preserve">Ce texte, plusieurs fois réédité au cours du XVIème siècle, n’a jamais fait l’objet d’une édition critique approfondie, malgré son succès. </w:t>
      </w:r>
      <w:r w:rsidR="000C579E">
        <w:rPr>
          <w:rFonts w:eastAsia="Times New Roman" w:cstheme="minorHAnsi"/>
          <w:lang w:eastAsia="fr-FR"/>
        </w:rPr>
        <w:t xml:space="preserve">Son titre complet est </w:t>
      </w:r>
      <w:r w:rsidR="000C579E" w:rsidRPr="000C579E">
        <w:rPr>
          <w:rFonts w:eastAsia="Times New Roman" w:cstheme="minorHAnsi"/>
          <w:i/>
          <w:iCs/>
          <w:lang w:eastAsia="fr-FR"/>
        </w:rPr>
        <w:t xml:space="preserve">Advertissement trèsutile du grand profit qui revient à la chrestienté, s'il se faisoit inventaire de tous les corps saincts et </w:t>
      </w:r>
      <w:r w:rsidR="000C579E" w:rsidRPr="000C579E">
        <w:rPr>
          <w:rFonts w:eastAsia="Times New Roman" w:cstheme="minorHAnsi"/>
          <w:i/>
          <w:iCs/>
          <w:lang w:eastAsia="fr-FR"/>
        </w:rPr>
        <w:lastRenderedPageBreak/>
        <w:t>reliques, qui sont tant en Italie, qu'en France, Alemagne, Espagne, et autres royaumes et pais</w:t>
      </w:r>
      <w:r w:rsidR="000C579E">
        <w:rPr>
          <w:rFonts w:eastAsia="Times New Roman" w:cstheme="minorHAnsi"/>
          <w:lang w:eastAsia="fr-FR"/>
        </w:rPr>
        <w:t xml:space="preserve">. </w:t>
      </w:r>
      <w:r>
        <w:rPr>
          <w:rFonts w:eastAsia="Times New Roman" w:cstheme="minorHAnsi"/>
          <w:lang w:eastAsia="fr-FR"/>
        </w:rPr>
        <w:t xml:space="preserve">Jean Calvin s’en prend avec humour aux reliques vénérées par les catholiques et aux cultes qui y sont liés. </w:t>
      </w:r>
    </w:p>
    <w:p w14:paraId="3FF9D1A6" w14:textId="77777777" w:rsidR="00000C3B" w:rsidRDefault="00000C3B" w:rsidP="00F623A0">
      <w:pPr>
        <w:jc w:val="both"/>
        <w:rPr>
          <w:rFonts w:eastAsia="Times New Roman" w:cstheme="minorHAnsi"/>
          <w:b/>
          <w:bCs/>
          <w:lang w:eastAsia="fr-FR"/>
        </w:rPr>
      </w:pPr>
    </w:p>
    <w:p w14:paraId="538CC157" w14:textId="77777777" w:rsidR="000C579E" w:rsidRDefault="000C579E" w:rsidP="00F623A0">
      <w:pPr>
        <w:jc w:val="both"/>
        <w:rPr>
          <w:rFonts w:eastAsia="Times New Roman" w:cstheme="minorHAnsi"/>
          <w:b/>
          <w:bCs/>
          <w:lang w:eastAsia="fr-FR"/>
        </w:rPr>
      </w:pPr>
    </w:p>
    <w:p w14:paraId="078FF1C0" w14:textId="3B93EC00"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 xml:space="preserve">*François Hotman, </w:t>
      </w:r>
      <w:r w:rsidRPr="00C63036">
        <w:rPr>
          <w:rFonts w:eastAsia="Times New Roman" w:cstheme="minorHAnsi"/>
          <w:b/>
          <w:bCs/>
          <w:i/>
          <w:iCs/>
          <w:lang w:eastAsia="fr-FR"/>
        </w:rPr>
        <w:t>Antitribonien</w:t>
      </w:r>
      <w:r w:rsidR="00000C3B">
        <w:rPr>
          <w:rFonts w:eastAsia="Times New Roman" w:cstheme="minorHAnsi"/>
          <w:b/>
          <w:bCs/>
          <w:i/>
          <w:iCs/>
          <w:lang w:eastAsia="fr-FR"/>
        </w:rPr>
        <w:t>…</w:t>
      </w:r>
      <w:r w:rsidRPr="00C63036">
        <w:rPr>
          <w:rFonts w:eastAsia="Times New Roman" w:cstheme="minorHAnsi"/>
          <w:b/>
          <w:bCs/>
          <w:lang w:eastAsia="fr-FR"/>
        </w:rPr>
        <w:t xml:space="preserve"> (1567)</w:t>
      </w:r>
    </w:p>
    <w:p w14:paraId="2A0DF646" w14:textId="77777777" w:rsidR="000C579E" w:rsidRDefault="000C579E" w:rsidP="00F623A0">
      <w:pPr>
        <w:jc w:val="both"/>
        <w:rPr>
          <w:rFonts w:eastAsia="Times New Roman" w:cstheme="minorHAnsi"/>
          <w:b/>
          <w:bCs/>
          <w:lang w:eastAsia="fr-FR"/>
        </w:rPr>
      </w:pPr>
    </w:p>
    <w:p w14:paraId="3839F72A" w14:textId="5ECAEDB4"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Préparation d’une édition critique de l’</w:t>
      </w:r>
      <w:r w:rsidRPr="00C63036">
        <w:rPr>
          <w:rFonts w:eastAsia="Times New Roman" w:cstheme="minorHAnsi"/>
          <w:b/>
          <w:bCs/>
          <w:i/>
          <w:iCs/>
          <w:lang w:eastAsia="fr-FR"/>
        </w:rPr>
        <w:t>Antitribonien</w:t>
      </w:r>
      <w:r w:rsidR="00000C3B">
        <w:rPr>
          <w:rFonts w:eastAsia="Times New Roman" w:cstheme="minorHAnsi"/>
          <w:b/>
          <w:bCs/>
          <w:i/>
          <w:iCs/>
          <w:lang w:eastAsia="fr-FR"/>
        </w:rPr>
        <w:t>…</w:t>
      </w:r>
      <w:r w:rsidRPr="00C63036">
        <w:rPr>
          <w:rFonts w:eastAsia="Times New Roman" w:cstheme="minorHAnsi"/>
          <w:b/>
          <w:bCs/>
          <w:lang w:eastAsia="fr-FR"/>
        </w:rPr>
        <w:t>, texte de François Hotman rédigé en 1567 et publié en 1603. En collaboration avec Stéphan Geonget (CESR) et Laurent Gerbier (Tours).</w:t>
      </w:r>
    </w:p>
    <w:p w14:paraId="22CBEABD" w14:textId="77777777" w:rsidR="00F623A0" w:rsidRDefault="00F623A0" w:rsidP="004D4ECB">
      <w:pPr>
        <w:ind w:firstLine="567"/>
        <w:jc w:val="both"/>
        <w:rPr>
          <w:rFonts w:eastAsia="Times New Roman" w:cstheme="minorHAnsi"/>
          <w:lang w:eastAsia="fr-FR"/>
        </w:rPr>
      </w:pPr>
      <w:r w:rsidRPr="00C63036">
        <w:rPr>
          <w:rFonts w:eastAsia="Times New Roman" w:cstheme="minorHAnsi"/>
          <w:lang w:eastAsia="fr-FR"/>
        </w:rPr>
        <w:t>Ce texte présente une réflexion originale sur la réforme des études de droit proposée par un jurisconsulte proche du chancelier Michel de L’Hospital. Le texte de François Hotman propose de se détourner des compilations produites sous le règne de Justinien, au profit de textes plus « utiles ». Cette édition critique s’inscrit dans le cadre du projet de recherche sur l’humanisme juridique, dirigé par Xavier Prevost (Bordeaux et Luigi-Alberto Sanchi (Paris). Elle sera publiée aux éditions Droz (Genève).</w:t>
      </w:r>
    </w:p>
    <w:p w14:paraId="03F91E65" w14:textId="77777777" w:rsidR="00F623A0" w:rsidRPr="00C63036" w:rsidRDefault="00F623A0" w:rsidP="00F623A0">
      <w:pPr>
        <w:jc w:val="both"/>
        <w:rPr>
          <w:rFonts w:eastAsia="Times New Roman" w:cstheme="minorHAnsi"/>
          <w:lang w:eastAsia="fr-FR"/>
        </w:rPr>
      </w:pPr>
    </w:p>
    <w:p w14:paraId="070FB1FB" w14:textId="77777777"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 xml:space="preserve">*Jean Calvin, </w:t>
      </w:r>
      <w:r w:rsidRPr="00C63036">
        <w:rPr>
          <w:rFonts w:eastAsia="Times New Roman" w:cstheme="minorHAnsi"/>
          <w:b/>
          <w:bCs/>
          <w:i/>
          <w:iCs/>
          <w:lang w:eastAsia="fr-FR"/>
        </w:rPr>
        <w:t>Supplex exhortatio</w:t>
      </w:r>
      <w:r w:rsidRPr="00C63036">
        <w:rPr>
          <w:rFonts w:eastAsia="Times New Roman" w:cstheme="minorHAnsi"/>
          <w:b/>
          <w:bCs/>
          <w:lang w:eastAsia="fr-FR"/>
        </w:rPr>
        <w:t>… (1543)</w:t>
      </w:r>
    </w:p>
    <w:p w14:paraId="45EEEEE8" w14:textId="77777777" w:rsidR="000C579E" w:rsidRDefault="000C579E" w:rsidP="00F623A0">
      <w:pPr>
        <w:jc w:val="both"/>
        <w:rPr>
          <w:rFonts w:eastAsia="Times New Roman" w:cstheme="minorHAnsi"/>
          <w:b/>
          <w:bCs/>
          <w:lang w:eastAsia="fr-FR"/>
        </w:rPr>
      </w:pPr>
    </w:p>
    <w:p w14:paraId="002BA0E3" w14:textId="64A26AFA"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 xml:space="preserve">Préparation d’une édition critique de la </w:t>
      </w:r>
      <w:r w:rsidRPr="00C63036">
        <w:rPr>
          <w:rFonts w:eastAsia="Times New Roman" w:cstheme="minorHAnsi"/>
          <w:b/>
          <w:bCs/>
          <w:i/>
          <w:iCs/>
          <w:lang w:eastAsia="fr-FR"/>
        </w:rPr>
        <w:t>Supplex exhortatio</w:t>
      </w:r>
      <w:r w:rsidRPr="00C63036">
        <w:rPr>
          <w:rFonts w:eastAsia="Times New Roman" w:cstheme="minorHAnsi"/>
          <w:b/>
          <w:bCs/>
          <w:lang w:eastAsia="fr-FR"/>
        </w:rPr>
        <w:t>…, texte de Jean Calvin publié en 1543. En collaboration avec Christian Martens (FNS / Genève).</w:t>
      </w:r>
    </w:p>
    <w:p w14:paraId="24C7C882" w14:textId="77777777" w:rsidR="00F623A0"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Ce texte a été présenté par Calvin à Charles Quint en 1543 lors de la diète de Spire. Son titre français précise : </w:t>
      </w:r>
      <w:r w:rsidRPr="00C63036">
        <w:rPr>
          <w:rFonts w:eastAsia="Times New Roman" w:cstheme="minorHAnsi"/>
          <w:i/>
          <w:iCs/>
          <w:lang w:eastAsia="fr-FR"/>
        </w:rPr>
        <w:t>Supplication et remonstrance sur le faict de la chrestienté, et de la reformation de l’Eglise, faicte au nom de tous amateurs du Regne de Jesus Christ, à l’Empereur, et aux Princes et Estatz tenans maintenant journée imperiale à Spire</w:t>
      </w:r>
      <w:r w:rsidRPr="00C63036">
        <w:rPr>
          <w:rFonts w:eastAsia="Times New Roman" w:cstheme="minorHAnsi"/>
          <w:lang w:eastAsia="fr-FR"/>
        </w:rPr>
        <w:t>. Calvin résume la théologie réformée adoptée à Genève peu avant et invite l’empereur à autoriser le culte dans le Saint Empire. L’édition sera publiée en bilingue latin-français aux éditions Droz.</w:t>
      </w:r>
    </w:p>
    <w:p w14:paraId="1F63E4DE" w14:textId="77777777" w:rsidR="00F623A0" w:rsidRPr="00C63036" w:rsidRDefault="00F623A0" w:rsidP="00F623A0">
      <w:pPr>
        <w:jc w:val="both"/>
        <w:rPr>
          <w:rFonts w:eastAsia="Times New Roman" w:cstheme="minorHAnsi"/>
          <w:lang w:eastAsia="fr-FR"/>
        </w:rPr>
      </w:pPr>
    </w:p>
    <w:p w14:paraId="564FDF01" w14:textId="77777777"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 xml:space="preserve">*Théodore de Bèze, </w:t>
      </w:r>
      <w:r w:rsidRPr="00C63036">
        <w:rPr>
          <w:rFonts w:eastAsia="Times New Roman" w:cstheme="minorHAnsi"/>
          <w:b/>
          <w:bCs/>
          <w:i/>
          <w:iCs/>
          <w:lang w:eastAsia="fr-FR"/>
        </w:rPr>
        <w:t>Du droit des magistrats…</w:t>
      </w:r>
      <w:r w:rsidRPr="00C63036">
        <w:rPr>
          <w:rFonts w:eastAsia="Times New Roman" w:cstheme="minorHAnsi"/>
          <w:b/>
          <w:bCs/>
          <w:lang w:eastAsia="fr-FR"/>
        </w:rPr>
        <w:t xml:space="preserve"> (1574)</w:t>
      </w:r>
    </w:p>
    <w:p w14:paraId="6EA7A958" w14:textId="77777777" w:rsidR="000C579E" w:rsidRDefault="000C579E" w:rsidP="00F623A0">
      <w:pPr>
        <w:jc w:val="both"/>
        <w:rPr>
          <w:rFonts w:eastAsia="Times New Roman" w:cstheme="minorHAnsi"/>
          <w:b/>
          <w:bCs/>
          <w:lang w:eastAsia="fr-FR"/>
        </w:rPr>
      </w:pPr>
    </w:p>
    <w:p w14:paraId="512B18B5" w14:textId="7A501E4F"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 xml:space="preserve">Préparation d’une édition critique du </w:t>
      </w:r>
      <w:r w:rsidRPr="00C63036">
        <w:rPr>
          <w:rFonts w:eastAsia="Times New Roman" w:cstheme="minorHAnsi"/>
          <w:b/>
          <w:bCs/>
          <w:i/>
          <w:iCs/>
          <w:lang w:eastAsia="fr-FR"/>
        </w:rPr>
        <w:t>Droit des magistrats…</w:t>
      </w:r>
      <w:r w:rsidRPr="00C63036">
        <w:rPr>
          <w:rFonts w:eastAsia="Times New Roman" w:cstheme="minorHAnsi"/>
          <w:b/>
          <w:bCs/>
          <w:lang w:eastAsia="fr-FR"/>
        </w:rPr>
        <w:t>, texte de Théodore de Bèze publié en 1574.</w:t>
      </w:r>
    </w:p>
    <w:p w14:paraId="7D5FAE71" w14:textId="77777777" w:rsidR="00F623A0"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Ce texte paru anonymement représente, avec la </w:t>
      </w:r>
      <w:r w:rsidRPr="00C63036">
        <w:rPr>
          <w:rFonts w:eastAsia="Times New Roman" w:cstheme="minorHAnsi"/>
          <w:i/>
          <w:iCs/>
          <w:lang w:eastAsia="fr-FR"/>
        </w:rPr>
        <w:t>Francogallia</w:t>
      </w:r>
      <w:r w:rsidRPr="00C63036">
        <w:rPr>
          <w:rFonts w:eastAsia="Times New Roman" w:cstheme="minorHAnsi"/>
          <w:lang w:eastAsia="fr-FR"/>
        </w:rPr>
        <w:t xml:space="preserve"> (1573) et les </w:t>
      </w:r>
      <w:r w:rsidRPr="00C63036">
        <w:rPr>
          <w:rFonts w:eastAsia="Times New Roman" w:cstheme="minorHAnsi"/>
          <w:i/>
          <w:iCs/>
          <w:lang w:eastAsia="fr-FR"/>
        </w:rPr>
        <w:t>Vindiciae contra tyrannos</w:t>
      </w:r>
      <w:r w:rsidRPr="00C63036">
        <w:rPr>
          <w:rFonts w:eastAsia="Times New Roman" w:cstheme="minorHAnsi"/>
          <w:lang w:eastAsia="fr-FR"/>
        </w:rPr>
        <w:t xml:space="preserve"> (1579), l’un des traités monarchomaques les plus célèbres. Son titre complet est : </w:t>
      </w:r>
      <w:r w:rsidRPr="00C63036">
        <w:rPr>
          <w:rFonts w:eastAsia="Times New Roman" w:cstheme="minorHAnsi"/>
          <w:i/>
          <w:iCs/>
          <w:lang w:eastAsia="fr-FR"/>
        </w:rPr>
        <w:t>Du droit des magistrats sur leurs sujets. Traitté tres-necessaire en ce temps, pour advertir de leur devoir, tant les Magistrats que les Subiets</w:t>
      </w:r>
      <w:r w:rsidRPr="00C63036">
        <w:rPr>
          <w:rFonts w:eastAsia="Times New Roman" w:cstheme="minorHAnsi"/>
          <w:lang w:eastAsia="fr-FR"/>
        </w:rPr>
        <w:t>. Bèze y expose les devoirs des princes et des magistrats « inférieurs », mais aussi les droits du peuple et les conditions d’une opposition légitime aux tyrans.</w:t>
      </w:r>
    </w:p>
    <w:p w14:paraId="224A97B1" w14:textId="77777777" w:rsidR="00000C3B" w:rsidRDefault="00000C3B" w:rsidP="00F623A0">
      <w:pPr>
        <w:jc w:val="both"/>
        <w:rPr>
          <w:rFonts w:eastAsia="Times New Roman" w:cstheme="minorHAnsi"/>
          <w:lang w:eastAsia="fr-FR"/>
        </w:rPr>
      </w:pPr>
    </w:p>
    <w:p w14:paraId="762724E4" w14:textId="77777777" w:rsidR="005D6D0B" w:rsidRDefault="005D6D0B"/>
    <w:sectPr w:rsidR="005D6D0B" w:rsidSect="00875043">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FAEF8" w14:textId="77777777" w:rsidR="006E0586" w:rsidRDefault="006E0586" w:rsidP="000C1C1C">
      <w:r>
        <w:separator/>
      </w:r>
    </w:p>
  </w:endnote>
  <w:endnote w:type="continuationSeparator" w:id="0">
    <w:p w14:paraId="3A4243C8" w14:textId="77777777" w:rsidR="006E0586" w:rsidRDefault="006E0586" w:rsidP="000C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FD77B" w14:textId="77777777" w:rsidR="006E0586" w:rsidRDefault="006E0586" w:rsidP="000C1C1C">
      <w:r>
        <w:separator/>
      </w:r>
    </w:p>
  </w:footnote>
  <w:footnote w:type="continuationSeparator" w:id="0">
    <w:p w14:paraId="13E6650F" w14:textId="77777777" w:rsidR="006E0586" w:rsidRDefault="006E0586" w:rsidP="000C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790240418"/>
      <w:docPartObj>
        <w:docPartGallery w:val="Page Numbers (Top of Page)"/>
        <w:docPartUnique/>
      </w:docPartObj>
    </w:sdtPr>
    <w:sdtContent>
      <w:p w14:paraId="7E60E701" w14:textId="02332226" w:rsidR="000C1C1C" w:rsidRDefault="000C1C1C" w:rsidP="00C508D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4F2B6F0" w14:textId="77777777" w:rsidR="000C1C1C" w:rsidRDefault="000C1C1C" w:rsidP="000C1C1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721397693"/>
      <w:docPartObj>
        <w:docPartGallery w:val="Page Numbers (Top of Page)"/>
        <w:docPartUnique/>
      </w:docPartObj>
    </w:sdtPr>
    <w:sdtContent>
      <w:p w14:paraId="221BCD0D" w14:textId="29BB2769" w:rsidR="000C1C1C" w:rsidRDefault="000C1C1C" w:rsidP="00C508D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66815DE" w14:textId="77777777" w:rsidR="000C1C1C" w:rsidRDefault="000C1C1C" w:rsidP="000C1C1C">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A0"/>
    <w:rsid w:val="00000C3B"/>
    <w:rsid w:val="000C1C1C"/>
    <w:rsid w:val="000C579E"/>
    <w:rsid w:val="00250022"/>
    <w:rsid w:val="00496C30"/>
    <w:rsid w:val="004D4ECB"/>
    <w:rsid w:val="005D6D0B"/>
    <w:rsid w:val="006E0586"/>
    <w:rsid w:val="007C0309"/>
    <w:rsid w:val="008723E2"/>
    <w:rsid w:val="00875043"/>
    <w:rsid w:val="00D657CF"/>
    <w:rsid w:val="00DB6270"/>
    <w:rsid w:val="00F623A0"/>
    <w:rsid w:val="00FE457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FDC7EEE"/>
  <w15:chartTrackingRefBased/>
  <w15:docId w15:val="{7904680C-1816-6649-8FEC-F6648B27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3A0"/>
  </w:style>
  <w:style w:type="paragraph" w:styleId="Titre1">
    <w:name w:val="heading 1"/>
    <w:basedOn w:val="Normal"/>
    <w:link w:val="Titre1Car"/>
    <w:uiPriority w:val="9"/>
    <w:qFormat/>
    <w:rsid w:val="00F623A0"/>
    <w:pPr>
      <w:spacing w:before="100" w:beforeAutospacing="1" w:after="100" w:afterAutospacing="1"/>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23A0"/>
    <w:rPr>
      <w:rFonts w:ascii="Times New Roman" w:eastAsia="Times New Roman" w:hAnsi="Times New Roman" w:cs="Times New Roman"/>
      <w:b/>
      <w:bCs/>
      <w:kern w:val="36"/>
      <w:sz w:val="48"/>
      <w:szCs w:val="48"/>
      <w:lang w:val="fr-FR" w:eastAsia="fr-FR"/>
    </w:rPr>
  </w:style>
  <w:style w:type="character" w:styleId="Lienhypertexte">
    <w:name w:val="Hyperlink"/>
    <w:basedOn w:val="Policepardfaut"/>
    <w:uiPriority w:val="99"/>
    <w:semiHidden/>
    <w:unhideWhenUsed/>
    <w:rsid w:val="00F623A0"/>
    <w:rPr>
      <w:color w:val="0000FF"/>
      <w:u w:val="single"/>
    </w:rPr>
  </w:style>
  <w:style w:type="paragraph" w:styleId="En-tte">
    <w:name w:val="header"/>
    <w:basedOn w:val="Normal"/>
    <w:link w:val="En-tteCar"/>
    <w:uiPriority w:val="99"/>
    <w:unhideWhenUsed/>
    <w:rsid w:val="000C1C1C"/>
    <w:pPr>
      <w:tabs>
        <w:tab w:val="center" w:pos="4536"/>
        <w:tab w:val="right" w:pos="9072"/>
      </w:tabs>
    </w:pPr>
  </w:style>
  <w:style w:type="character" w:customStyle="1" w:styleId="En-tteCar">
    <w:name w:val="En-tête Car"/>
    <w:basedOn w:val="Policepardfaut"/>
    <w:link w:val="En-tte"/>
    <w:uiPriority w:val="99"/>
    <w:rsid w:val="000C1C1C"/>
  </w:style>
  <w:style w:type="character" w:styleId="Numrodepage">
    <w:name w:val="page number"/>
    <w:basedOn w:val="Policepardfaut"/>
    <w:uiPriority w:val="99"/>
    <w:semiHidden/>
    <w:unhideWhenUsed/>
    <w:rsid w:val="000C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224062">
      <w:bodyDiv w:val="1"/>
      <w:marLeft w:val="0"/>
      <w:marRight w:val="0"/>
      <w:marTop w:val="0"/>
      <w:marBottom w:val="0"/>
      <w:divBdr>
        <w:top w:val="none" w:sz="0" w:space="0" w:color="auto"/>
        <w:left w:val="none" w:sz="0" w:space="0" w:color="auto"/>
        <w:bottom w:val="none" w:sz="0" w:space="0" w:color="auto"/>
        <w:right w:val="none" w:sz="0" w:space="0" w:color="auto"/>
      </w:divBdr>
    </w:div>
    <w:div w:id="19320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ole.hypothese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2993</Words>
  <Characters>16462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Paul-Alexis Mellet</cp:lastModifiedBy>
  <cp:revision>3</cp:revision>
  <dcterms:created xsi:type="dcterms:W3CDTF">2022-11-28T18:26:00Z</dcterms:created>
  <dcterms:modified xsi:type="dcterms:W3CDTF">2024-10-12T21:33:00Z</dcterms:modified>
</cp:coreProperties>
</file>