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4A34" w14:textId="26C0A3C2" w:rsidR="00D80447" w:rsidRPr="0090593A" w:rsidRDefault="003A0143" w:rsidP="00E87F8A">
      <w:pPr>
        <w:spacing w:after="120" w:line="300" w:lineRule="auto"/>
        <w:jc w:val="both"/>
        <w:rPr>
          <w:sz w:val="32"/>
          <w:szCs w:val="32"/>
        </w:rPr>
      </w:pPr>
      <w:r w:rsidRPr="0090593A">
        <w:rPr>
          <w:i/>
          <w:iCs/>
          <w:sz w:val="32"/>
          <w:szCs w:val="32"/>
        </w:rPr>
        <w:t>F</w:t>
      </w:r>
      <w:r w:rsidR="00967383" w:rsidRPr="0090593A">
        <w:rPr>
          <w:i/>
          <w:iCs/>
          <w:sz w:val="32"/>
          <w:szCs w:val="32"/>
        </w:rPr>
        <w:t>ii</w:t>
      </w:r>
      <w:r w:rsidRPr="0090593A">
        <w:rPr>
          <w:sz w:val="32"/>
          <w:szCs w:val="32"/>
        </w:rPr>
        <w:t xml:space="preserve"> </w:t>
      </w:r>
      <w:r w:rsidR="00F31728">
        <w:rPr>
          <w:sz w:val="32"/>
          <w:szCs w:val="32"/>
        </w:rPr>
        <w:t xml:space="preserve">uses </w:t>
      </w:r>
      <w:r w:rsidRPr="0090593A">
        <w:rPr>
          <w:sz w:val="32"/>
          <w:szCs w:val="32"/>
        </w:rPr>
        <w:t>across Arabic</w:t>
      </w:r>
      <w:r w:rsidR="001A22D6" w:rsidRPr="0090593A">
        <w:rPr>
          <w:sz w:val="32"/>
          <w:szCs w:val="32"/>
        </w:rPr>
        <w:t xml:space="preserve"> varieties</w:t>
      </w:r>
    </w:p>
    <w:p w14:paraId="4A401895" w14:textId="5529F835" w:rsidR="001A22D6" w:rsidRPr="0090593A" w:rsidRDefault="001A22D6" w:rsidP="001A22D6">
      <w:pPr>
        <w:spacing w:after="0" w:line="300" w:lineRule="auto"/>
        <w:jc w:val="both"/>
      </w:pPr>
      <w:r w:rsidRPr="0090593A">
        <w:t>Margherita Pallottino</w:t>
      </w:r>
    </w:p>
    <w:p w14:paraId="6ABD5686" w14:textId="788C9D9A" w:rsidR="001A22D6" w:rsidRPr="001A22D6" w:rsidRDefault="001A22D6" w:rsidP="001A22D6">
      <w:pPr>
        <w:spacing w:after="0" w:line="300" w:lineRule="auto"/>
        <w:jc w:val="both"/>
      </w:pPr>
      <w:r w:rsidRPr="001A22D6">
        <w:t>FNS post-doc fellow at OFAI (Vienna)</w:t>
      </w:r>
    </w:p>
    <w:p w14:paraId="31F9769F" w14:textId="77777777" w:rsidR="0089209D" w:rsidRPr="00D77FEE" w:rsidRDefault="0089209D" w:rsidP="00E87F8A">
      <w:pPr>
        <w:spacing w:after="120" w:line="300" w:lineRule="auto"/>
        <w:jc w:val="both"/>
      </w:pPr>
    </w:p>
    <w:p w14:paraId="3D6BC09B" w14:textId="4C694209" w:rsidR="000044A9" w:rsidRPr="00D77FEE" w:rsidRDefault="00B112C3" w:rsidP="0090593A">
      <w:pPr>
        <w:spacing w:after="0" w:line="300" w:lineRule="auto"/>
        <w:jc w:val="both"/>
      </w:pPr>
      <w:r w:rsidRPr="00D77FEE">
        <w:t xml:space="preserve">The </w:t>
      </w:r>
      <w:r w:rsidR="00BD3E2D">
        <w:t>particle</w:t>
      </w:r>
      <w:r w:rsidR="003A0143" w:rsidRPr="00D77FEE">
        <w:t xml:space="preserve"> </w:t>
      </w:r>
      <w:r w:rsidR="00614E0A" w:rsidRPr="00D77FEE">
        <w:rPr>
          <w:rFonts w:cstheme="minorHAnsi"/>
          <w:rtl/>
        </w:rPr>
        <w:t>في</w:t>
      </w:r>
      <w:r w:rsidR="00614E0A" w:rsidRPr="00D77FEE">
        <w:rPr>
          <w:rFonts w:cstheme="minorHAnsi"/>
        </w:rPr>
        <w:t xml:space="preserve"> </w:t>
      </w:r>
      <w:r w:rsidR="00614E0A" w:rsidRPr="00D77FEE">
        <w:rPr>
          <w:i/>
          <w:iCs/>
        </w:rPr>
        <w:t>fii</w:t>
      </w:r>
      <w:r w:rsidR="00BD3E2D">
        <w:rPr>
          <w:i/>
          <w:iCs/>
        </w:rPr>
        <w:t xml:space="preserve"> (</w:t>
      </w:r>
      <w:proofErr w:type="gramStart"/>
      <w:r w:rsidR="00BD3E2D">
        <w:rPr>
          <w:i/>
          <w:iCs/>
        </w:rPr>
        <w:t xml:space="preserve">and </w:t>
      </w:r>
      <w:r w:rsidR="00BD3E2D" w:rsidRPr="00BD3E2D">
        <w:rPr>
          <w:rFonts w:cstheme="minorHAnsi"/>
          <w:rtl/>
        </w:rPr>
        <w:t xml:space="preserve"> </w:t>
      </w:r>
      <w:r w:rsidR="00BD3E2D" w:rsidRPr="00D77FEE">
        <w:rPr>
          <w:rFonts w:cstheme="minorHAnsi"/>
          <w:rtl/>
        </w:rPr>
        <w:t>ب</w:t>
      </w:r>
      <w:proofErr w:type="gramEnd"/>
      <w:r w:rsidR="00BD3E2D" w:rsidRPr="00D77FEE">
        <w:rPr>
          <w:i/>
          <w:iCs/>
        </w:rPr>
        <w:t>bi</w:t>
      </w:r>
      <w:r w:rsidR="00BD3E2D" w:rsidRPr="00D77FEE">
        <w:t>-</w:t>
      </w:r>
      <w:r w:rsidR="00BD3E2D">
        <w:t xml:space="preserve"> its allomorph)</w:t>
      </w:r>
      <w:r w:rsidR="00BD3E2D" w:rsidRPr="00D77FEE">
        <w:t xml:space="preserve"> </w:t>
      </w:r>
      <w:r w:rsidR="003870F8" w:rsidRPr="00D77FEE">
        <w:t>is</w:t>
      </w:r>
      <w:r w:rsidR="00FE4A22" w:rsidRPr="00D77FEE">
        <w:t xml:space="preserve"> universal</w:t>
      </w:r>
      <w:r w:rsidR="00257C25" w:rsidRPr="00D77FEE">
        <w:t>ly attested across Arabic varieties</w:t>
      </w:r>
      <w:r w:rsidR="00BD3E2D">
        <w:t>. A</w:t>
      </w:r>
      <w:r w:rsidR="00F560DC" w:rsidRPr="00D77FEE">
        <w:t xml:space="preserve">lternative uses of </w:t>
      </w:r>
      <w:r w:rsidR="00EE33D4" w:rsidRPr="00EE33D4">
        <w:t>this element</w:t>
      </w:r>
      <w:r w:rsidR="00F560DC" w:rsidRPr="00D77FEE">
        <w:t xml:space="preserve"> </w:t>
      </w:r>
      <w:r w:rsidR="003C337E" w:rsidRPr="00D77FEE">
        <w:t xml:space="preserve">have been identified in single </w:t>
      </w:r>
      <w:r w:rsidR="005006F1" w:rsidRPr="00D77FEE">
        <w:t>dialects</w:t>
      </w:r>
      <w:r w:rsidR="00D77FEE" w:rsidRPr="00D77FEE">
        <w:t>. F</w:t>
      </w:r>
      <w:r w:rsidR="003A0143" w:rsidRPr="00D77FEE">
        <w:t>or instance</w:t>
      </w:r>
      <w:r w:rsidR="00C457F6" w:rsidRPr="00C457F6">
        <w:t xml:space="preserve"> </w:t>
      </w:r>
      <w:r w:rsidR="00C457F6" w:rsidRPr="00D77FEE">
        <w:t>in the Levantine dialects</w:t>
      </w:r>
      <w:r w:rsidR="00187796" w:rsidRPr="00D77FEE">
        <w:t xml:space="preserve"> </w:t>
      </w:r>
      <w:r w:rsidR="00432EEB" w:rsidRPr="00D77FEE">
        <w:rPr>
          <w:i/>
          <w:iCs/>
        </w:rPr>
        <w:t>fii</w:t>
      </w:r>
      <w:r w:rsidR="00432EEB" w:rsidRPr="00D77FEE">
        <w:t xml:space="preserve"> is used in existential constructions</w:t>
      </w:r>
      <w:r w:rsidR="00676843" w:rsidRPr="00D77FEE">
        <w:t xml:space="preserve"> </w:t>
      </w:r>
      <w:r w:rsidR="00676843" w:rsidRPr="00D77FEE">
        <w:fldChar w:fldCharType="begin"/>
      </w:r>
      <w:r w:rsidR="00B66FB0" w:rsidRPr="00D77FEE">
        <w:instrText xml:space="preserve"> ADDIN ZOTERO_ITEM CSL_CITATION {"citationID":"M4lnZaj7","properties":{"formattedCitation":"(Jarad, 2015)","plainCitation":"(Jarad, 2015)","noteIndex":0},"citationItems":[{"id":436,"uris":["http://zotero.org/users/3436270/items/U598L7ED"],"itemData":{"id":436,"type":"article-journal","container-title":"Romano-Arabica, XV","page":"235–254","source":"Google Scholar","title":"From locative to existential: The grammaticalization of “fī” in the spoken Arabic of Aleppo","title-short":"From locative to existential","author":[{"family":"Jarad","given":"Nabil Ismail"}],"issued":{"date-parts":[["2015"]]}}}],"schema":"https://github.com/citation-style-language/schema/raw/master/csl-citation.json"} </w:instrText>
      </w:r>
      <w:r w:rsidR="00676843" w:rsidRPr="00D77FEE">
        <w:fldChar w:fldCharType="separate"/>
      </w:r>
      <w:r w:rsidR="00676843" w:rsidRPr="00D77FEE">
        <w:rPr>
          <w:rFonts w:ascii="Calibri" w:hAnsi="Calibri" w:cs="Calibri"/>
        </w:rPr>
        <w:t>(Jarad, 2015)</w:t>
      </w:r>
      <w:r w:rsidR="00676843" w:rsidRPr="00D77FEE">
        <w:fldChar w:fldCharType="end"/>
      </w:r>
      <w:r w:rsidR="00432EEB" w:rsidRPr="00D77FEE">
        <w:t xml:space="preserve"> or</w:t>
      </w:r>
      <w:r w:rsidR="00F43E9B" w:rsidRPr="00D77FEE">
        <w:t xml:space="preserve"> </w:t>
      </w:r>
      <w:r w:rsidR="00D77FEE" w:rsidRPr="00D77FEE">
        <w:t xml:space="preserve">as a </w:t>
      </w:r>
      <w:r w:rsidR="002B03F9" w:rsidRPr="00D77FEE">
        <w:t xml:space="preserve">modal </w:t>
      </w:r>
      <w:r w:rsidR="00676843" w:rsidRPr="00D77FEE">
        <w:fldChar w:fldCharType="begin"/>
      </w:r>
      <w:r w:rsidR="00B66FB0" w:rsidRPr="00D77FEE">
        <w:instrText xml:space="preserve"> ADDIN ZOTERO_ITEM CSL_CITATION {"citationID":"88dUMOAk","properties":{"formattedCitation":"(Cowell, 1964)","plainCitation":"(Cowell, 1964)","noteIndex":0},"citationItems":[{"id":1517,"uris":["http://zotero.org/users/3436270/items/HM8FT89P"],"itemData":{"id":1517,"type":"book","publisher":"Georgetown University Press","source":"Google Scholar","title":"A reference grammar of Syrian Arabic (Based on the dialect of Damascus)","author":[{"family":"Cowell","given":"Mark W."}],"issued":{"date-parts":[["1964"]]}}}],"schema":"https://github.com/citation-style-language/schema/raw/master/csl-citation.json"} </w:instrText>
      </w:r>
      <w:r w:rsidR="00676843" w:rsidRPr="00D77FEE">
        <w:fldChar w:fldCharType="separate"/>
      </w:r>
      <w:r w:rsidR="00676843" w:rsidRPr="00D77FEE">
        <w:rPr>
          <w:rFonts w:ascii="Calibri" w:hAnsi="Calibri" w:cs="Calibri"/>
        </w:rPr>
        <w:t>(Cowell, 1964)</w:t>
      </w:r>
      <w:r w:rsidR="00676843" w:rsidRPr="00D77FEE">
        <w:fldChar w:fldCharType="end"/>
      </w:r>
      <w:r w:rsidR="00187796" w:rsidRPr="00D77FEE">
        <w:t xml:space="preserve">; </w:t>
      </w:r>
      <w:r w:rsidR="002B03F9" w:rsidRPr="00D77FEE">
        <w:t xml:space="preserve">whereas in </w:t>
      </w:r>
      <w:r w:rsidR="00432EEB" w:rsidRPr="00D77FEE">
        <w:t>the</w:t>
      </w:r>
      <w:r w:rsidR="00187796" w:rsidRPr="00D77FEE">
        <w:t xml:space="preserve"> </w:t>
      </w:r>
      <w:r w:rsidR="00F43E9B" w:rsidRPr="00D77FEE">
        <w:t xml:space="preserve">North African </w:t>
      </w:r>
      <w:r w:rsidR="00432EEB" w:rsidRPr="00D77FEE">
        <w:t xml:space="preserve">region </w:t>
      </w:r>
      <w:r w:rsidR="00432EEB" w:rsidRPr="00D77FEE">
        <w:rPr>
          <w:i/>
          <w:iCs/>
        </w:rPr>
        <w:t>fii</w:t>
      </w:r>
      <w:r w:rsidR="00432EEB" w:rsidRPr="00D77FEE">
        <w:t xml:space="preserve"> </w:t>
      </w:r>
      <w:r w:rsidR="00604960" w:rsidRPr="00D77FEE">
        <w:t>is</w:t>
      </w:r>
      <w:r w:rsidR="00F43E9B" w:rsidRPr="00D77FEE">
        <w:t xml:space="preserve"> an ingredient of progressive constructions</w:t>
      </w:r>
      <w:r w:rsidR="004D1B9A" w:rsidRPr="00D77FEE">
        <w:t xml:space="preserve"> </w:t>
      </w:r>
      <w:r w:rsidR="004D1B9A" w:rsidRPr="00D77FEE">
        <w:fldChar w:fldCharType="begin"/>
      </w:r>
      <w:r w:rsidR="00B66FB0" w:rsidRPr="00D77FEE">
        <w:instrText xml:space="preserve"> ADDIN ZOTERO_ITEM CSL_CITATION {"citationID":"Zq4GHaTB","properties":{"formattedCitation":"(Brahim, 2007)","plainCitation":"(Brahim, 2007)","noteIndex":0},"citationItems":[{"id":345,"uris":["http://zotero.org/users/3436270/items/C3KH8BHU"],"itemData":{"id":345,"type":"chapter","collection-number":"23","collection-title":"Cahier du CRISCO","container-title":"Morphosyntaxe  et sémantique du verbe. Relations actiancielles, voix, aspect et statut grammatical en français et en arabe","event-place":"Université de Caen","page":"94-105","publisher":"CRISCO","publisher-place":"Université de Caen","title":"Le marquage \"locatif\" de l'objet et aspect progressif en arabe et en berbère tunisien","author":[{"family":"Brahim","given":"Ahmed"}],"issued":{"date-parts":[["2007"]]}}}],"schema":"https://github.com/citation-style-language/schema/raw/master/csl-citation.json"} </w:instrText>
      </w:r>
      <w:r w:rsidR="004D1B9A" w:rsidRPr="00D77FEE">
        <w:fldChar w:fldCharType="separate"/>
      </w:r>
      <w:r w:rsidR="004D1B9A" w:rsidRPr="00D77FEE">
        <w:rPr>
          <w:rFonts w:ascii="Calibri" w:hAnsi="Calibri" w:cs="Calibri"/>
        </w:rPr>
        <w:t>(Brahim, 2007)</w:t>
      </w:r>
      <w:r w:rsidR="004D1B9A" w:rsidRPr="00D77FEE">
        <w:fldChar w:fldCharType="end"/>
      </w:r>
      <w:r w:rsidR="005164B5" w:rsidRPr="00D77FEE">
        <w:t>.</w:t>
      </w:r>
      <w:r w:rsidR="00AC3FAA" w:rsidRPr="00D77FEE">
        <w:t xml:space="preserve"> </w:t>
      </w:r>
    </w:p>
    <w:p w14:paraId="37C545B0" w14:textId="3D5E5305" w:rsidR="00EE33D4" w:rsidRDefault="000044A9" w:rsidP="00EE33D4">
      <w:pPr>
        <w:spacing w:after="0" w:line="300" w:lineRule="auto"/>
        <w:ind w:firstLine="708"/>
        <w:jc w:val="both"/>
      </w:pPr>
      <w:r w:rsidRPr="00D77FEE">
        <w:t xml:space="preserve">The existing literature gives us a picture of the multifunctionality of </w:t>
      </w:r>
      <w:r w:rsidRPr="00D77FEE">
        <w:rPr>
          <w:i/>
          <w:iCs/>
        </w:rPr>
        <w:t>fii</w:t>
      </w:r>
      <w:r w:rsidRPr="00D77FEE">
        <w:t xml:space="preserve"> in Arabic</w:t>
      </w:r>
      <w:r w:rsidR="00EE33D4">
        <w:t xml:space="preserve"> </w:t>
      </w:r>
      <w:r w:rsidRPr="00D77FEE">
        <w:t>but</w:t>
      </w:r>
      <w:r w:rsidR="002F335F" w:rsidRPr="00D77FEE">
        <w:t xml:space="preserve"> it does not provide any indication about the geographical </w:t>
      </w:r>
      <w:r w:rsidRPr="00D77FEE">
        <w:t xml:space="preserve">distribution of these usages, </w:t>
      </w:r>
      <w:r w:rsidR="002F335F" w:rsidRPr="00D77FEE">
        <w:t>nor</w:t>
      </w:r>
      <w:r w:rsidRPr="00D77FEE">
        <w:t xml:space="preserve"> about the possible correlations among </w:t>
      </w:r>
      <w:r w:rsidR="002F335F" w:rsidRPr="00D77FEE">
        <w:t>them.</w:t>
      </w:r>
      <w:r w:rsidR="009115DF" w:rsidRPr="00D77FEE">
        <w:t xml:space="preserve"> </w:t>
      </w:r>
      <w:r w:rsidRPr="00D77FEE">
        <w:t xml:space="preserve">The research described in this </w:t>
      </w:r>
      <w:r w:rsidR="004718A9">
        <w:t>talk</w:t>
      </w:r>
      <w:r w:rsidR="00F40930">
        <w:t xml:space="preserve"> fills</w:t>
      </w:r>
      <w:r w:rsidR="002F335F" w:rsidRPr="00D77FEE">
        <w:t xml:space="preserve"> this gap</w:t>
      </w:r>
      <w:r w:rsidR="00BD3E2D">
        <w:t xml:space="preserve"> surveying</w:t>
      </w:r>
      <w:r w:rsidRPr="00D77FEE">
        <w:t xml:space="preserve"> 11</w:t>
      </w:r>
      <w:r w:rsidR="005164B5" w:rsidRPr="00D77FEE">
        <w:t xml:space="preserve"> different uses of </w:t>
      </w:r>
      <w:r w:rsidR="005164B5" w:rsidRPr="00D77FEE">
        <w:rPr>
          <w:i/>
          <w:iCs/>
        </w:rPr>
        <w:t>fii</w:t>
      </w:r>
      <w:r w:rsidR="005164B5" w:rsidRPr="00D77FEE">
        <w:t xml:space="preserve"> </w:t>
      </w:r>
      <w:r w:rsidRPr="00D77FEE">
        <w:t>previously described in the literature</w:t>
      </w:r>
      <w:r w:rsidR="004E79D1" w:rsidRPr="00D77FEE">
        <w:t>,</w:t>
      </w:r>
      <w:r w:rsidRPr="00D77FEE">
        <w:t xml:space="preserve"> </w:t>
      </w:r>
      <w:r w:rsidR="005164B5" w:rsidRPr="00D77FEE">
        <w:t>across 1</w:t>
      </w:r>
      <w:r w:rsidR="00BD3E2D">
        <w:t>1</w:t>
      </w:r>
      <w:r w:rsidR="005164B5" w:rsidRPr="00D77FEE">
        <w:t xml:space="preserve"> different Arabic varieties </w:t>
      </w:r>
      <w:r w:rsidR="00F31728">
        <w:t>extending</w:t>
      </w:r>
      <w:r w:rsidR="005164B5" w:rsidRPr="00D77FEE">
        <w:t xml:space="preserve"> from Morocco to Iraq</w:t>
      </w:r>
      <w:r w:rsidR="00187796" w:rsidRPr="00D77FEE">
        <w:t>.</w:t>
      </w:r>
      <w:r w:rsidR="00F40930">
        <w:t xml:space="preserve"> </w:t>
      </w:r>
    </w:p>
    <w:p w14:paraId="59EAB389" w14:textId="68B09743" w:rsidR="00E87F8A" w:rsidRDefault="002F335F" w:rsidP="00EE33D4">
      <w:pPr>
        <w:spacing w:after="0" w:line="300" w:lineRule="auto"/>
        <w:ind w:firstLine="708"/>
        <w:jc w:val="both"/>
      </w:pPr>
      <w:r w:rsidRPr="00D77FEE">
        <w:t xml:space="preserve">The </w:t>
      </w:r>
      <w:r w:rsidR="004E79D1" w:rsidRPr="00D77FEE">
        <w:t xml:space="preserve">resulting </w:t>
      </w:r>
      <w:r w:rsidRPr="00D77FEE">
        <w:t xml:space="preserve">picture </w:t>
      </w:r>
      <w:r w:rsidR="00EE33D4">
        <w:t xml:space="preserve">shows </w:t>
      </w:r>
      <w:r w:rsidRPr="00D77FEE">
        <w:t xml:space="preserve">a leopard-spot distribution of certain functions of </w:t>
      </w:r>
      <w:r w:rsidRPr="00D77FEE">
        <w:rPr>
          <w:i/>
          <w:iCs/>
        </w:rPr>
        <w:t>fii</w:t>
      </w:r>
      <w:r w:rsidRPr="00D77FEE">
        <w:t xml:space="preserve"> suggesting that other forces drive the emergence of </w:t>
      </w:r>
      <w:r w:rsidR="000208D1" w:rsidRPr="00D77FEE">
        <w:rPr>
          <w:i/>
          <w:iCs/>
        </w:rPr>
        <w:t>fii</w:t>
      </w:r>
      <w:r w:rsidR="000208D1" w:rsidRPr="00D77FEE">
        <w:t xml:space="preserve"> usages across varieties</w:t>
      </w:r>
      <w:r w:rsidRPr="00D77FEE">
        <w:t xml:space="preserve"> beside the influence of geographically proximity.</w:t>
      </w:r>
      <w:r w:rsidR="00EE33D4">
        <w:t xml:space="preserve"> </w:t>
      </w:r>
      <w:r w:rsidR="0090593A" w:rsidRPr="0090593A">
        <w:t xml:space="preserve">The </w:t>
      </w:r>
      <w:r w:rsidR="00DB09A5">
        <w:t xml:space="preserve">talk will present a preliminary answer to the </w:t>
      </w:r>
      <w:r w:rsidR="0090593A" w:rsidRPr="0090593A">
        <w:t>question</w:t>
      </w:r>
      <w:r w:rsidR="00DB09A5">
        <w:t xml:space="preserve">: </w:t>
      </w:r>
      <w:r w:rsidR="0096135E">
        <w:t xml:space="preserve">which </w:t>
      </w:r>
      <w:r w:rsidR="00DB09A5">
        <w:t xml:space="preserve">are the </w:t>
      </w:r>
      <w:r w:rsidR="0096135E">
        <w:t xml:space="preserve">factors </w:t>
      </w:r>
      <w:r w:rsidR="00DB09A5">
        <w:t>that</w:t>
      </w:r>
      <w:r w:rsidR="00ED29F3">
        <w:t xml:space="preserve"> </w:t>
      </w:r>
      <w:r w:rsidR="0090593A">
        <w:t>explain</w:t>
      </w:r>
      <w:r w:rsidR="0090593A" w:rsidRPr="0090593A">
        <w:t xml:space="preserve"> the distribution of </w:t>
      </w:r>
      <w:r w:rsidR="0090593A" w:rsidRPr="0090593A">
        <w:rPr>
          <w:i/>
          <w:iCs/>
        </w:rPr>
        <w:t>fii</w:t>
      </w:r>
      <w:r w:rsidR="0090593A" w:rsidRPr="0090593A">
        <w:t xml:space="preserve"> function</w:t>
      </w:r>
      <w:r w:rsidR="00DB09A5">
        <w:t>?</w:t>
      </w:r>
      <w:bookmarkStart w:id="0" w:name="_GoBack"/>
      <w:bookmarkEnd w:id="0"/>
      <w:r w:rsidR="0090593A" w:rsidRPr="0090593A">
        <w:t xml:space="preserve"> </w:t>
      </w:r>
      <w:r w:rsidR="00ED29F3">
        <w:t xml:space="preserve">The validity of the </w:t>
      </w:r>
      <w:r w:rsidR="00ED29F3" w:rsidRPr="0090593A">
        <w:t>competing hypotheses</w:t>
      </w:r>
      <w:r w:rsidR="00ED29F3">
        <w:t xml:space="preserve">, historical accident or grammar driven, </w:t>
      </w:r>
      <w:r w:rsidR="00EE33D4">
        <w:t xml:space="preserve">are </w:t>
      </w:r>
      <w:r w:rsidR="00ED29F3">
        <w:t xml:space="preserve">evaluated with </w:t>
      </w:r>
      <w:r w:rsidR="00BD3E2D">
        <w:t>mat</w:t>
      </w:r>
      <w:r w:rsidR="00EE33D4">
        <w:t>h</w:t>
      </w:r>
      <w:r w:rsidR="00BD3E2D">
        <w:t>ematical</w:t>
      </w:r>
      <w:r w:rsidR="00ED29F3">
        <w:t xml:space="preserve"> methods run on the data gathered in the study</w:t>
      </w:r>
      <w:r w:rsidR="00EE33D4">
        <w:t>.</w:t>
      </w:r>
      <w:r w:rsidR="00DB09A5">
        <w:t xml:space="preserve"> </w:t>
      </w:r>
    </w:p>
    <w:p w14:paraId="47278388" w14:textId="77777777" w:rsidR="0090593A" w:rsidRPr="00D77FEE" w:rsidRDefault="0090593A" w:rsidP="0090593A">
      <w:pPr>
        <w:spacing w:after="0" w:line="300" w:lineRule="auto"/>
        <w:ind w:firstLine="708"/>
        <w:jc w:val="both"/>
        <w:rPr>
          <w:sz w:val="32"/>
          <w:szCs w:val="32"/>
        </w:rPr>
      </w:pPr>
    </w:p>
    <w:p w14:paraId="79E41637" w14:textId="22E5A608" w:rsidR="00B66FB0" w:rsidRPr="00DB09A5" w:rsidRDefault="00BC2E9E" w:rsidP="00EE33D4">
      <w:pPr>
        <w:tabs>
          <w:tab w:val="left" w:pos="3310"/>
        </w:tabs>
        <w:spacing w:after="120" w:line="300" w:lineRule="auto"/>
        <w:jc w:val="both"/>
        <w:rPr>
          <w:sz w:val="24"/>
          <w:lang w:val="fr-CH"/>
        </w:rPr>
      </w:pPr>
      <w:proofErr w:type="gramStart"/>
      <w:r w:rsidRPr="00DB09A5">
        <w:rPr>
          <w:sz w:val="32"/>
          <w:szCs w:val="32"/>
          <w:lang w:val="fr-CH"/>
        </w:rPr>
        <w:t>Bibliography:</w:t>
      </w:r>
      <w:proofErr w:type="gramEnd"/>
      <w:r w:rsidR="00E87F8A" w:rsidRPr="00D77FEE">
        <w:fldChar w:fldCharType="begin"/>
      </w:r>
      <w:r w:rsidR="00E87F8A" w:rsidRPr="00DB09A5">
        <w:rPr>
          <w:lang w:val="fr-CH"/>
        </w:rPr>
        <w:instrText xml:space="preserve"> ADDIN ZOTERO_BIBL {"uncited":[],"omitted":[],"custom":[]} CSL_BIBLIOGRAPHY </w:instrText>
      </w:r>
      <w:r w:rsidR="00E87F8A" w:rsidRPr="00D77FEE">
        <w:fldChar w:fldCharType="separate"/>
      </w:r>
    </w:p>
    <w:p w14:paraId="3E352E19" w14:textId="2A5B90DC" w:rsidR="00B66FB0" w:rsidRPr="00D77FEE" w:rsidRDefault="00B66FB0" w:rsidP="006231C0">
      <w:pPr>
        <w:pStyle w:val="Bibliographie"/>
        <w:spacing w:line="360" w:lineRule="auto"/>
        <w:rPr>
          <w:sz w:val="24"/>
        </w:rPr>
      </w:pPr>
      <w:r w:rsidRPr="0090593A">
        <w:rPr>
          <w:sz w:val="24"/>
          <w:lang w:val="fr-CH"/>
        </w:rPr>
        <w:t xml:space="preserve">Brahim, A. (2007). Le marquage « locatif » de l’objet et aspect progressif en arabe et en berbère tunisien. In </w:t>
      </w:r>
      <w:r w:rsidR="00BC2E9E" w:rsidRPr="0090593A">
        <w:rPr>
          <w:i/>
          <w:iCs/>
          <w:sz w:val="24"/>
          <w:lang w:val="fr-CH"/>
        </w:rPr>
        <w:t>Morphosyntaxe et</w:t>
      </w:r>
      <w:r w:rsidRPr="0090593A">
        <w:rPr>
          <w:i/>
          <w:iCs/>
          <w:sz w:val="24"/>
          <w:lang w:val="fr-CH"/>
        </w:rPr>
        <w:t xml:space="preserve"> sémantique du verbe. Relations actiancielles, voix, aspect et statut grammatical en français et en arabe</w:t>
      </w:r>
      <w:r w:rsidRPr="0090593A">
        <w:rPr>
          <w:sz w:val="24"/>
          <w:lang w:val="fr-CH"/>
        </w:rPr>
        <w:t xml:space="preserve"> (p. 94</w:t>
      </w:r>
      <w:r w:rsidRPr="0090593A">
        <w:rPr>
          <w:rFonts w:ascii="Cambria Math" w:hAnsi="Cambria Math" w:cs="Cambria Math"/>
          <w:sz w:val="24"/>
          <w:lang w:val="fr-CH"/>
        </w:rPr>
        <w:t>‑</w:t>
      </w:r>
      <w:r w:rsidRPr="0090593A">
        <w:rPr>
          <w:sz w:val="24"/>
          <w:lang w:val="fr-CH"/>
        </w:rPr>
        <w:t xml:space="preserve">105). </w:t>
      </w:r>
      <w:r w:rsidRPr="00D77FEE">
        <w:rPr>
          <w:sz w:val="24"/>
        </w:rPr>
        <w:t>CRISCO.</w:t>
      </w:r>
    </w:p>
    <w:p w14:paraId="19364123" w14:textId="77777777" w:rsidR="00B66FB0" w:rsidRPr="00D77FEE" w:rsidRDefault="00B66FB0" w:rsidP="006231C0">
      <w:pPr>
        <w:pStyle w:val="Bibliographie"/>
        <w:spacing w:line="360" w:lineRule="auto"/>
        <w:rPr>
          <w:sz w:val="24"/>
        </w:rPr>
      </w:pPr>
      <w:r w:rsidRPr="00D77FEE">
        <w:rPr>
          <w:sz w:val="24"/>
        </w:rPr>
        <w:t xml:space="preserve">Cowell, M. W. (1964). </w:t>
      </w:r>
      <w:r w:rsidRPr="00D77FEE">
        <w:rPr>
          <w:i/>
          <w:iCs/>
          <w:sz w:val="24"/>
        </w:rPr>
        <w:t>A reference grammar of Syrian Arabic (Based on the dialect of Damascus)</w:t>
      </w:r>
      <w:r w:rsidRPr="00D77FEE">
        <w:rPr>
          <w:sz w:val="24"/>
        </w:rPr>
        <w:t>. Georgetown University Press.</w:t>
      </w:r>
    </w:p>
    <w:p w14:paraId="344D0127" w14:textId="57C729DD" w:rsidR="00244B89" w:rsidRPr="007453BF" w:rsidRDefault="00B66FB0" w:rsidP="001A22D6">
      <w:pPr>
        <w:pStyle w:val="Bibliographie"/>
        <w:spacing w:line="360" w:lineRule="auto"/>
        <w:rPr>
          <w:sz w:val="24"/>
          <w:szCs w:val="24"/>
        </w:rPr>
      </w:pPr>
      <w:r w:rsidRPr="00D77FEE">
        <w:rPr>
          <w:sz w:val="24"/>
        </w:rPr>
        <w:t xml:space="preserve">Jarad, N. I. (2015). From locative to </w:t>
      </w:r>
      <w:r w:rsidR="00BC2E9E" w:rsidRPr="00D77FEE">
        <w:rPr>
          <w:sz w:val="24"/>
        </w:rPr>
        <w:t>existential:</w:t>
      </w:r>
      <w:r w:rsidRPr="00D77FEE">
        <w:rPr>
          <w:sz w:val="24"/>
        </w:rPr>
        <w:t xml:space="preserve"> The grammaticalization of “fī” in the spoken Arabic of Aleppo. </w:t>
      </w:r>
      <w:r w:rsidRPr="00D77FEE">
        <w:rPr>
          <w:i/>
          <w:iCs/>
          <w:sz w:val="24"/>
        </w:rPr>
        <w:t>Romano-Arabica, XV</w:t>
      </w:r>
      <w:r w:rsidRPr="00D77FEE">
        <w:rPr>
          <w:sz w:val="24"/>
        </w:rPr>
        <w:t>, 235</w:t>
      </w:r>
      <w:r w:rsidRPr="00D77FEE">
        <w:rPr>
          <w:rFonts w:ascii="Cambria Math" w:hAnsi="Cambria Math" w:cs="Cambria Math"/>
          <w:sz w:val="24"/>
        </w:rPr>
        <w:t>‑</w:t>
      </w:r>
      <w:r w:rsidRPr="00D77FEE">
        <w:rPr>
          <w:sz w:val="24"/>
        </w:rPr>
        <w:t>254.</w:t>
      </w:r>
      <w:r w:rsidR="00E87F8A" w:rsidRPr="00D77FEE">
        <w:rPr>
          <w:sz w:val="24"/>
          <w:szCs w:val="24"/>
        </w:rPr>
        <w:fldChar w:fldCharType="end"/>
      </w:r>
    </w:p>
    <w:sectPr w:rsidR="00244B89" w:rsidRPr="0074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BB23" w14:textId="77777777" w:rsidR="00AC73E9" w:rsidRPr="00D77FEE" w:rsidRDefault="00AC73E9" w:rsidP="007105ED">
      <w:pPr>
        <w:spacing w:after="0" w:line="240" w:lineRule="auto"/>
      </w:pPr>
      <w:r w:rsidRPr="00D77FEE">
        <w:separator/>
      </w:r>
    </w:p>
  </w:endnote>
  <w:endnote w:type="continuationSeparator" w:id="0">
    <w:p w14:paraId="73FA3B7A" w14:textId="77777777" w:rsidR="00AC73E9" w:rsidRPr="00D77FEE" w:rsidRDefault="00AC73E9" w:rsidP="007105ED">
      <w:pPr>
        <w:spacing w:after="0" w:line="240" w:lineRule="auto"/>
      </w:pPr>
      <w:r w:rsidRPr="00D77F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AF20" w14:textId="77777777" w:rsidR="00AC73E9" w:rsidRPr="00D77FEE" w:rsidRDefault="00AC73E9" w:rsidP="007105ED">
      <w:pPr>
        <w:spacing w:after="0" w:line="240" w:lineRule="auto"/>
      </w:pPr>
      <w:r w:rsidRPr="00D77FEE">
        <w:separator/>
      </w:r>
    </w:p>
  </w:footnote>
  <w:footnote w:type="continuationSeparator" w:id="0">
    <w:p w14:paraId="093E540B" w14:textId="77777777" w:rsidR="00AC73E9" w:rsidRPr="00D77FEE" w:rsidRDefault="00AC73E9" w:rsidP="007105ED">
      <w:pPr>
        <w:spacing w:after="0" w:line="240" w:lineRule="auto"/>
      </w:pPr>
      <w:r w:rsidRPr="00D77FE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83"/>
    <w:rsid w:val="000044A9"/>
    <w:rsid w:val="00010C4D"/>
    <w:rsid w:val="000208D1"/>
    <w:rsid w:val="001326B9"/>
    <w:rsid w:val="00187796"/>
    <w:rsid w:val="001A22D6"/>
    <w:rsid w:val="001D5DAE"/>
    <w:rsid w:val="00244B89"/>
    <w:rsid w:val="00257C25"/>
    <w:rsid w:val="00297FE8"/>
    <w:rsid w:val="002B03F9"/>
    <w:rsid w:val="002F335F"/>
    <w:rsid w:val="0032253C"/>
    <w:rsid w:val="00356A42"/>
    <w:rsid w:val="00362503"/>
    <w:rsid w:val="00383662"/>
    <w:rsid w:val="003870F8"/>
    <w:rsid w:val="003A0143"/>
    <w:rsid w:val="003B2A54"/>
    <w:rsid w:val="003B53BD"/>
    <w:rsid w:val="003B5C75"/>
    <w:rsid w:val="003C337E"/>
    <w:rsid w:val="00432CE4"/>
    <w:rsid w:val="00432EEB"/>
    <w:rsid w:val="004348CB"/>
    <w:rsid w:val="0045456F"/>
    <w:rsid w:val="004546C1"/>
    <w:rsid w:val="0047083E"/>
    <w:rsid w:val="004718A9"/>
    <w:rsid w:val="0048134D"/>
    <w:rsid w:val="004821E0"/>
    <w:rsid w:val="004D1B9A"/>
    <w:rsid w:val="004E4180"/>
    <w:rsid w:val="004E79D1"/>
    <w:rsid w:val="004F6255"/>
    <w:rsid w:val="005006F1"/>
    <w:rsid w:val="005164B5"/>
    <w:rsid w:val="005710B5"/>
    <w:rsid w:val="005F351A"/>
    <w:rsid w:val="005F46EC"/>
    <w:rsid w:val="00604960"/>
    <w:rsid w:val="00614E0A"/>
    <w:rsid w:val="006231C0"/>
    <w:rsid w:val="006468D0"/>
    <w:rsid w:val="00676843"/>
    <w:rsid w:val="006B29BF"/>
    <w:rsid w:val="007104E7"/>
    <w:rsid w:val="007105ED"/>
    <w:rsid w:val="007453BF"/>
    <w:rsid w:val="00776AD8"/>
    <w:rsid w:val="007B45F0"/>
    <w:rsid w:val="007C1A20"/>
    <w:rsid w:val="007E520C"/>
    <w:rsid w:val="0089209D"/>
    <w:rsid w:val="008B4C3E"/>
    <w:rsid w:val="0090593A"/>
    <w:rsid w:val="009115DF"/>
    <w:rsid w:val="00925159"/>
    <w:rsid w:val="0096135E"/>
    <w:rsid w:val="00967383"/>
    <w:rsid w:val="009704D7"/>
    <w:rsid w:val="009853B8"/>
    <w:rsid w:val="0098609D"/>
    <w:rsid w:val="009A4EB2"/>
    <w:rsid w:val="00A669AF"/>
    <w:rsid w:val="00A715ED"/>
    <w:rsid w:val="00AA6D7F"/>
    <w:rsid w:val="00AC3FAA"/>
    <w:rsid w:val="00AC73E9"/>
    <w:rsid w:val="00AF5158"/>
    <w:rsid w:val="00B112C3"/>
    <w:rsid w:val="00B232F0"/>
    <w:rsid w:val="00B45671"/>
    <w:rsid w:val="00B66FB0"/>
    <w:rsid w:val="00B92E09"/>
    <w:rsid w:val="00BC2E9E"/>
    <w:rsid w:val="00BD15E4"/>
    <w:rsid w:val="00BD3E2D"/>
    <w:rsid w:val="00C457F6"/>
    <w:rsid w:val="00CE61F0"/>
    <w:rsid w:val="00D77FEE"/>
    <w:rsid w:val="00D80447"/>
    <w:rsid w:val="00DB09A5"/>
    <w:rsid w:val="00E126AC"/>
    <w:rsid w:val="00E13100"/>
    <w:rsid w:val="00E87F8A"/>
    <w:rsid w:val="00EB2FE2"/>
    <w:rsid w:val="00ED29F3"/>
    <w:rsid w:val="00ED4C9A"/>
    <w:rsid w:val="00EE33D4"/>
    <w:rsid w:val="00EF2D8A"/>
    <w:rsid w:val="00F205AB"/>
    <w:rsid w:val="00F31728"/>
    <w:rsid w:val="00F40930"/>
    <w:rsid w:val="00F43E9B"/>
    <w:rsid w:val="00F560DC"/>
    <w:rsid w:val="00F75C44"/>
    <w:rsid w:val="00FE4A22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96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362503"/>
    <w:pPr>
      <w:spacing w:after="0" w:line="480" w:lineRule="auto"/>
      <w:ind w:left="720" w:hanging="720"/>
    </w:pPr>
  </w:style>
  <w:style w:type="paragraph" w:styleId="En-tte">
    <w:name w:val="header"/>
    <w:basedOn w:val="Normal"/>
    <w:link w:val="En-tteCar"/>
    <w:uiPriority w:val="99"/>
    <w:unhideWhenUsed/>
    <w:rsid w:val="0071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5ED"/>
  </w:style>
  <w:style w:type="paragraph" w:styleId="Pieddepage">
    <w:name w:val="footer"/>
    <w:basedOn w:val="Normal"/>
    <w:link w:val="PieddepageCar"/>
    <w:uiPriority w:val="99"/>
    <w:unhideWhenUsed/>
    <w:rsid w:val="0071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2024-05-06T14:29:00Z</dcterms:created>
  <dcterms:modified xsi:type="dcterms:W3CDTF">2024-05-06T14:29:00Z</dcterms:modified>
</cp:coreProperties>
</file>