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ACE0" w14:textId="77777777" w:rsidR="003F4055" w:rsidRDefault="00BE1FA8" w:rsidP="003F4055">
      <w:pPr>
        <w:autoSpaceDE w:val="0"/>
        <w:autoSpaceDN w:val="0"/>
        <w:adjustRightInd w:val="0"/>
        <w:rPr>
          <w:rFonts w:cs="Arial"/>
          <w:b/>
          <w:sz w:val="24"/>
        </w:rPr>
      </w:pPr>
      <w:r>
        <w:rPr>
          <w:noProof/>
          <w:lang w:val="fr-CH" w:eastAsia="fr-CH"/>
        </w:rPr>
        <mc:AlternateContent>
          <mc:Choice Requires="wps">
            <w:drawing>
              <wp:anchor distT="0" distB="0" distL="114300" distR="114300" simplePos="0" relativeHeight="251661312" behindDoc="0" locked="0" layoutInCell="1" allowOverlap="1" wp14:anchorId="35A896B9" wp14:editId="20B01F49">
                <wp:simplePos x="0" y="0"/>
                <wp:positionH relativeFrom="column">
                  <wp:posOffset>4048760</wp:posOffset>
                </wp:positionH>
                <wp:positionV relativeFrom="page">
                  <wp:posOffset>993140</wp:posOffset>
                </wp:positionV>
                <wp:extent cx="1943100" cy="800100"/>
                <wp:effectExtent l="0" t="0" r="0" b="0"/>
                <wp:wrapTight wrapText="bothSides">
                  <wp:wrapPolygon edited="0">
                    <wp:start x="0" y="0"/>
                    <wp:lineTo x="0" y="21086"/>
                    <wp:lineTo x="21388" y="21086"/>
                    <wp:lineTo x="21388" y="0"/>
                    <wp:lineTo x="0" y="0"/>
                  </wp:wrapPolygon>
                </wp:wrapTight>
                <wp:docPr id="19" name="adres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0">
                              <a:solidFill>
                                <a:srgbClr val="000000"/>
                              </a:solidFill>
                              <a:miter lim="800000"/>
                              <a:headEnd/>
                              <a:tailEnd/>
                            </a14:hiddenLine>
                          </a:ext>
                        </a:extLst>
                      </wps:spPr>
                      <wps:txbx>
                        <w:txbxContent>
                          <w:p w14:paraId="5EBCB502" w14:textId="77777777" w:rsidR="00124DCE" w:rsidRDefault="00124DCE" w:rsidP="00BE1FA8">
                            <w:pPr>
                              <w:rPr>
                                <w:lang w:val="fr-CH"/>
                              </w:rPr>
                            </w:pPr>
                          </w:p>
                          <w:p w14:paraId="20C5DDF2" w14:textId="77777777" w:rsidR="00124DCE" w:rsidRPr="00124DCE" w:rsidRDefault="00124DCE" w:rsidP="00BE1FA8">
                            <w:pPr>
                              <w:rPr>
                                <w:b/>
                                <w:bCs/>
                                <w:sz w:val="28"/>
                                <w:szCs w:val="28"/>
                                <w:lang w:val="fr-CH"/>
                              </w:rPr>
                            </w:pPr>
                          </w:p>
                          <w:p w14:paraId="37320107" w14:textId="6B42BCDC" w:rsidR="00BE1FA8" w:rsidRPr="00124DCE" w:rsidRDefault="00124DCE" w:rsidP="00BE1FA8">
                            <w:pPr>
                              <w:rPr>
                                <w:b/>
                                <w:bCs/>
                                <w:sz w:val="28"/>
                                <w:szCs w:val="28"/>
                                <w:lang w:val="fr-CH"/>
                              </w:rPr>
                            </w:pPr>
                            <w:r w:rsidRPr="00124DCE">
                              <w:rPr>
                                <w:b/>
                                <w:bCs/>
                                <w:sz w:val="28"/>
                                <w:szCs w:val="28"/>
                                <w:lang w:val="fr-CH"/>
                              </w:rPr>
                              <w:t>PRESS RELEASE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A896B9" id="_x0000_t202" coordsize="21600,21600" o:spt="202" path="m,l,21600r21600,l21600,xe">
                <v:stroke joinstyle="miter"/>
                <v:path gradientshapeok="t" o:connecttype="rect"/>
              </v:shapetype>
              <v:shape id="adresse" o:spid="_x0000_s1026" type="#_x0000_t202" style="position:absolute;left:0;text-align:left;margin-left:318.8pt;margin-top:78.2pt;width:153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" stroked="f">
                <v:textbox inset="0,0,0,0">
                  <w:txbxContent>
                    <w:p w14:paraId="5EBCB502" w14:textId="77777777" w:rsidR="00124DCE" w:rsidRDefault="00124DCE" w:rsidP="00BE1FA8">
                      <w:pPr>
                        <w:rPr>
                          <w:lang w:val="fr-CH"/>
                        </w:rPr>
                      </w:pPr>
                    </w:p>
                    <w:p w14:paraId="20C5DDF2" w14:textId="77777777" w:rsidR="00124DCE" w:rsidRPr="00124DCE" w:rsidRDefault="00124DCE" w:rsidP="00BE1FA8">
                      <w:pPr>
                        <w:rPr>
                          <w:b/>
                          <w:bCs/>
                          <w:sz w:val="28"/>
                          <w:szCs w:val="28"/>
                          <w:lang w:val="fr-CH"/>
                        </w:rPr>
                      </w:pPr>
                    </w:p>
                    <w:p w14:paraId="37320107" w14:textId="6B42BCDC" w:rsidR="00BE1FA8" w:rsidRPr="00124DCE" w:rsidRDefault="00124DCE" w:rsidP="00BE1FA8">
                      <w:pPr>
                        <w:rPr>
                          <w:b/>
                          <w:bCs/>
                          <w:sz w:val="28"/>
                          <w:szCs w:val="28"/>
                          <w:lang w:val="fr-CH"/>
                        </w:rPr>
                      </w:pPr>
                      <w:r w:rsidRPr="00124DCE">
                        <w:rPr>
                          <w:b/>
                          <w:bCs/>
                          <w:sz w:val="28"/>
                          <w:szCs w:val="28"/>
                          <w:lang w:val="fr-CH"/>
                        </w:rPr>
                        <w:t>PRESS RELEASE</w:t>
                      </w:r>
                    </w:p>
                  </w:txbxContent>
                </v:textbox>
                <w10:wrap type="tight" anchory="page"/>
              </v:shape>
            </w:pict>
          </mc:Fallback>
        </mc:AlternateContent>
      </w:r>
    </w:p>
    <w:p w14:paraId="0EB3FB33" w14:textId="1922DDC3" w:rsidR="004D3BB5" w:rsidRPr="002E3E18" w:rsidRDefault="004D3BB5" w:rsidP="004D3BB5">
      <w:pPr>
        <w:pStyle w:val="HUGref"/>
        <w:tabs>
          <w:tab w:val="left" w:pos="853"/>
        </w:tabs>
        <w:rPr>
          <w:lang w:val="en-GB"/>
        </w:rPr>
      </w:pPr>
      <w:r w:rsidRPr="002E3E18">
        <w:rPr>
          <w:b/>
          <w:sz w:val="20"/>
          <w:lang w:val="en-GB" w:bidi="en-GB"/>
        </w:rPr>
        <w:t>Geneva,</w:t>
      </w:r>
      <w:r w:rsidR="002E3E18">
        <w:rPr>
          <w:b/>
          <w:sz w:val="20"/>
          <w:lang w:val="en-GB" w:bidi="en-GB"/>
        </w:rPr>
        <w:t xml:space="preserve"> </w:t>
      </w:r>
      <w:r w:rsidR="002E3E18" w:rsidRPr="002E3E18">
        <w:rPr>
          <w:b/>
          <w:sz w:val="20"/>
          <w:lang w:val="en-GB" w:bidi="en-GB"/>
        </w:rPr>
        <w:t>4</w:t>
      </w:r>
      <w:r w:rsidR="002E3E18" w:rsidRPr="002E3E18">
        <w:rPr>
          <w:b/>
          <w:sz w:val="20"/>
          <w:vertAlign w:val="superscript"/>
          <w:lang w:val="en-GB" w:bidi="en-GB"/>
        </w:rPr>
        <w:t>th</w:t>
      </w:r>
      <w:r w:rsidR="002E3E18">
        <w:rPr>
          <w:b/>
          <w:sz w:val="20"/>
          <w:lang w:val="en-GB" w:bidi="en-GB"/>
        </w:rPr>
        <w:t xml:space="preserve"> </w:t>
      </w:r>
      <w:proofErr w:type="spellStart"/>
      <w:r w:rsidR="002E3E18">
        <w:rPr>
          <w:b/>
          <w:sz w:val="20"/>
          <w:lang w:val="en-GB" w:bidi="en-GB"/>
        </w:rPr>
        <w:t>avril</w:t>
      </w:r>
      <w:proofErr w:type="spellEnd"/>
      <w:r w:rsidR="002E3E18">
        <w:rPr>
          <w:b/>
          <w:sz w:val="20"/>
          <w:lang w:val="en-GB" w:bidi="en-GB"/>
        </w:rPr>
        <w:t xml:space="preserve"> 2023</w:t>
      </w:r>
    </w:p>
    <w:p w14:paraId="29B87C71" w14:textId="77777777" w:rsidR="004D3BB5" w:rsidRPr="002E3E18" w:rsidRDefault="004D3BB5" w:rsidP="004D3BB5">
      <w:pPr>
        <w:ind w:left="-142"/>
        <w:rPr>
          <w:lang w:val="en-GB"/>
        </w:rPr>
      </w:pPr>
      <w:r w:rsidRPr="002E3E18">
        <w:rPr>
          <w:lang w:val="en-GB" w:bidi="en-GB"/>
        </w:rPr>
        <w:t xml:space="preserve"> </w:t>
      </w:r>
    </w:p>
    <w:p w14:paraId="258AB546" w14:textId="5DEC60C1" w:rsidR="004D3BB5" w:rsidRPr="00A817B2" w:rsidRDefault="004D3BB5" w:rsidP="004D3BB5">
      <w:pPr>
        <w:spacing w:after="120"/>
        <w:jc w:val="left"/>
        <w:rPr>
          <w:rFonts w:cs="Arial"/>
          <w:b/>
          <w:sz w:val="36"/>
          <w:szCs w:val="36"/>
        </w:rPr>
      </w:pPr>
      <w:r w:rsidRPr="003A6C9D">
        <w:rPr>
          <w:b/>
          <w:sz w:val="36"/>
          <w:lang w:val="en-GB" w:bidi="en-GB"/>
        </w:rPr>
        <w:t>BLOOD</w:t>
      </w:r>
      <w:r w:rsidR="00CD7658">
        <w:rPr>
          <w:b/>
          <w:sz w:val="36"/>
          <w:lang w:val="en-GB" w:bidi="en-GB"/>
        </w:rPr>
        <w:t>-BASED</w:t>
      </w:r>
      <w:r w:rsidRPr="003A6C9D">
        <w:rPr>
          <w:b/>
          <w:sz w:val="36"/>
          <w:lang w:val="en-GB" w:bidi="en-GB"/>
        </w:rPr>
        <w:t xml:space="preserve"> BIOMARKERS FOR ALZHEIMER’S DISEASE COULD GREATLY SIMPLIFY DIAGNOSIS AND REDUCE COSTS</w:t>
      </w:r>
    </w:p>
    <w:p w14:paraId="5558F713" w14:textId="77777777" w:rsidR="004D3BB5" w:rsidRPr="00A817B2" w:rsidRDefault="004D3BB5" w:rsidP="004D3BB5">
      <w:pPr>
        <w:pStyle w:val="HUGtitre"/>
        <w:ind w:left="-142"/>
        <w:rPr>
          <w:lang w:val="en-US"/>
        </w:rPr>
      </w:pPr>
    </w:p>
    <w:p w14:paraId="510B7A07" w14:textId="712792EB" w:rsidR="004D3BB5" w:rsidRDefault="004D3BB5" w:rsidP="004D3BB5">
      <w:pPr>
        <w:autoSpaceDE w:val="0"/>
        <w:autoSpaceDN w:val="0"/>
        <w:adjustRightInd w:val="0"/>
        <w:rPr>
          <w:rFonts w:cs="Arial"/>
          <w:b/>
          <w:sz w:val="24"/>
        </w:rPr>
      </w:pPr>
      <w:r w:rsidRPr="00903E51">
        <w:rPr>
          <w:b/>
          <w:sz w:val="24"/>
          <w:lang w:val="en-GB" w:bidi="en-GB"/>
        </w:rPr>
        <w:t>An international research team led by the HUG and the UNIGE has shown that amyloid and tau blood</w:t>
      </w:r>
      <w:r w:rsidR="00CD7658">
        <w:rPr>
          <w:b/>
          <w:sz w:val="24"/>
          <w:lang w:val="en-GB" w:bidi="en-GB"/>
        </w:rPr>
        <w:t>-based</w:t>
      </w:r>
      <w:r w:rsidRPr="00903E51">
        <w:rPr>
          <w:b/>
          <w:sz w:val="24"/>
          <w:lang w:val="en-GB" w:bidi="en-GB"/>
        </w:rPr>
        <w:t xml:space="preserve"> biomarkers are highly correlated with the corresponding biomarkers used so far for the diagnosis of Alzheimer’s disease. Furthermore, the blood</w:t>
      </w:r>
      <w:r w:rsidR="00CD7658">
        <w:rPr>
          <w:b/>
          <w:sz w:val="24"/>
          <w:lang w:val="en-GB" w:bidi="en-GB"/>
        </w:rPr>
        <w:t>-based</w:t>
      </w:r>
      <w:r w:rsidRPr="00903E51">
        <w:rPr>
          <w:b/>
          <w:sz w:val="24"/>
          <w:lang w:val="en-GB" w:bidi="en-GB"/>
        </w:rPr>
        <w:t xml:space="preserve"> biomarkers showed high diagnostic accuracy in </w:t>
      </w:r>
      <w:r w:rsidR="00CD7658">
        <w:rPr>
          <w:b/>
          <w:sz w:val="24"/>
          <w:lang w:val="en-GB" w:bidi="en-GB"/>
        </w:rPr>
        <w:t>discriminating</w:t>
      </w:r>
      <w:r w:rsidR="00CD7658" w:rsidRPr="00903E51">
        <w:rPr>
          <w:b/>
          <w:sz w:val="24"/>
          <w:lang w:val="en-GB" w:bidi="en-GB"/>
        </w:rPr>
        <w:t xml:space="preserve"> </w:t>
      </w:r>
      <w:r w:rsidRPr="00903E51">
        <w:rPr>
          <w:b/>
          <w:sz w:val="24"/>
          <w:lang w:val="en-GB" w:bidi="en-GB"/>
        </w:rPr>
        <w:t>the normal or non-normal status of the amyloid and tau biomarkers.</w:t>
      </w:r>
      <w:r w:rsidR="0069323C">
        <w:rPr>
          <w:b/>
          <w:sz w:val="24"/>
          <w:lang w:val="en-GB" w:bidi="en-GB"/>
        </w:rPr>
        <w:t xml:space="preserve"> </w:t>
      </w:r>
      <w:r w:rsidRPr="00903E51">
        <w:rPr>
          <w:b/>
          <w:sz w:val="24"/>
          <w:lang w:val="en-GB" w:bidi="en-GB"/>
        </w:rPr>
        <w:t>Blood</w:t>
      </w:r>
      <w:r w:rsidR="00CD7658">
        <w:rPr>
          <w:b/>
          <w:sz w:val="24"/>
          <w:lang w:val="en-GB" w:bidi="en-GB"/>
        </w:rPr>
        <w:t>-based</w:t>
      </w:r>
      <w:r w:rsidRPr="00903E51">
        <w:rPr>
          <w:b/>
          <w:sz w:val="24"/>
          <w:lang w:val="en-GB" w:bidi="en-GB"/>
        </w:rPr>
        <w:t xml:space="preserve"> biomarkers are significantly less invasive and expensive than traditional biomarkers and could greatly simplify the diagnostic process for Alzheimer’s disease by </w:t>
      </w:r>
      <w:r w:rsidR="0069323C" w:rsidRPr="002E3E18">
        <w:rPr>
          <w:rFonts w:cs="Arial"/>
          <w:b/>
          <w:sz w:val="24"/>
        </w:rPr>
        <w:t>re</w:t>
      </w:r>
      <w:r w:rsidR="0069323C">
        <w:rPr>
          <w:rFonts w:cs="Arial"/>
          <w:b/>
          <w:sz w:val="24"/>
        </w:rPr>
        <w:t>d</w:t>
      </w:r>
      <w:r w:rsidR="0069323C" w:rsidRPr="002E3E18">
        <w:rPr>
          <w:rFonts w:cs="Arial"/>
          <w:b/>
          <w:sz w:val="24"/>
        </w:rPr>
        <w:t>ucing costs and reducing the number of tests required by up to 49</w:t>
      </w:r>
      <w:proofErr w:type="gramStart"/>
      <w:r w:rsidR="0069323C" w:rsidRPr="002E3E18">
        <w:rPr>
          <w:rFonts w:cs="Arial"/>
          <w:b/>
          <w:sz w:val="24"/>
        </w:rPr>
        <w:t>%.</w:t>
      </w:r>
      <w:r w:rsidRPr="00903E51">
        <w:rPr>
          <w:b/>
          <w:sz w:val="24"/>
          <w:lang w:val="en-GB" w:bidi="en-GB"/>
        </w:rPr>
        <w:t>They</w:t>
      </w:r>
      <w:proofErr w:type="gramEnd"/>
      <w:r w:rsidRPr="00903E51">
        <w:rPr>
          <w:b/>
          <w:sz w:val="24"/>
          <w:lang w:val="en-GB" w:bidi="en-GB"/>
        </w:rPr>
        <w:t xml:space="preserve"> could improve early detection and monitoring of the </w:t>
      </w:r>
      <w:r w:rsidR="00CD7658">
        <w:rPr>
          <w:b/>
          <w:sz w:val="24"/>
          <w:lang w:val="en-GB" w:bidi="en-GB"/>
        </w:rPr>
        <w:t>disease progression</w:t>
      </w:r>
      <w:r w:rsidRPr="00903E51">
        <w:rPr>
          <w:b/>
          <w:sz w:val="24"/>
          <w:lang w:val="en-GB" w:bidi="en-GB"/>
        </w:rPr>
        <w:t xml:space="preserve">. A study to read in the </w:t>
      </w:r>
      <w:hyperlink r:id="rId8" w:history="1">
        <w:r w:rsidRPr="00A817B2">
          <w:rPr>
            <w:rStyle w:val="Lienhypertexte"/>
            <w:rFonts w:cs="Arial"/>
            <w:b/>
            <w:sz w:val="24"/>
          </w:rPr>
          <w:t>Journal of Neurology Neurosurgery and Psychiatry</w:t>
        </w:r>
      </w:hyperlink>
      <w:r w:rsidRPr="00A817B2">
        <w:rPr>
          <w:rFonts w:cs="Arial"/>
          <w:b/>
          <w:sz w:val="24"/>
        </w:rPr>
        <w:t>.</w:t>
      </w:r>
    </w:p>
    <w:p w14:paraId="15390845" w14:textId="47FEFFA8" w:rsidR="002E3E18" w:rsidRDefault="002E3E18" w:rsidP="004D3BB5">
      <w:pPr>
        <w:autoSpaceDE w:val="0"/>
        <w:autoSpaceDN w:val="0"/>
        <w:adjustRightInd w:val="0"/>
        <w:rPr>
          <w:rFonts w:cs="Arial"/>
          <w:b/>
          <w:sz w:val="24"/>
        </w:rPr>
      </w:pPr>
    </w:p>
    <w:p w14:paraId="40554E7C" w14:textId="77777777" w:rsidR="004D3BB5" w:rsidRPr="00A817B2" w:rsidRDefault="004D3BB5" w:rsidP="004D3BB5">
      <w:pPr>
        <w:spacing w:after="120"/>
        <w:rPr>
          <w:noProof/>
        </w:rPr>
      </w:pPr>
    </w:p>
    <w:p w14:paraId="51A03190" w14:textId="7C306207" w:rsidR="004D3BB5" w:rsidRPr="00A817B2" w:rsidRDefault="004D3BB5" w:rsidP="004D3BB5">
      <w:pPr>
        <w:autoSpaceDE w:val="0"/>
        <w:autoSpaceDN w:val="0"/>
        <w:adjustRightInd w:val="0"/>
        <w:rPr>
          <w:rFonts w:cs="Arial"/>
          <w:sz w:val="22"/>
          <w:szCs w:val="22"/>
        </w:rPr>
      </w:pPr>
      <w:r w:rsidRPr="003A6C9D">
        <w:rPr>
          <w:sz w:val="22"/>
          <w:lang w:val="en-GB" w:bidi="en-GB"/>
        </w:rPr>
        <w:t>T</w:t>
      </w:r>
      <w:r w:rsidR="0069323C">
        <w:rPr>
          <w:sz w:val="22"/>
          <w:lang w:val="en-GB" w:bidi="en-GB"/>
        </w:rPr>
        <w:t>oda</w:t>
      </w:r>
      <w:r w:rsidRPr="003A6C9D">
        <w:rPr>
          <w:sz w:val="22"/>
          <w:lang w:val="en-GB" w:bidi="en-GB"/>
        </w:rPr>
        <w:t xml:space="preserve">y, Alzheimer’s disease </w:t>
      </w:r>
      <w:r w:rsidR="0069323C">
        <w:rPr>
          <w:sz w:val="22"/>
          <w:lang w:val="en-GB" w:bidi="en-GB"/>
        </w:rPr>
        <w:t>is</w:t>
      </w:r>
      <w:r w:rsidRPr="003A6C9D">
        <w:rPr>
          <w:sz w:val="22"/>
          <w:lang w:val="en-GB" w:bidi="en-GB"/>
        </w:rPr>
        <w:t xml:space="preserve"> diagnosed using biomarkers that require </w:t>
      </w:r>
      <w:r w:rsidR="0069323C" w:rsidRPr="003A6C9D">
        <w:rPr>
          <w:sz w:val="22"/>
          <w:lang w:val="en-GB" w:bidi="en-GB"/>
        </w:rPr>
        <w:t xml:space="preserve">expensive </w:t>
      </w:r>
      <w:r w:rsidRPr="003A6C9D">
        <w:rPr>
          <w:sz w:val="22"/>
          <w:lang w:val="en-GB" w:bidi="en-GB"/>
        </w:rPr>
        <w:t>techniques, such as positron emission tomography (PET) and tau-PET, invasive, such as lumbar punctures to collect cerebrospinal fluid and p-tau, or not very accurate, such as measuring brain atrophy by MRI.</w:t>
      </w:r>
    </w:p>
    <w:p w14:paraId="5B92E91C" w14:textId="77777777" w:rsidR="00E61292" w:rsidRDefault="00E61292" w:rsidP="004D3BB5">
      <w:pPr>
        <w:autoSpaceDE w:val="0"/>
        <w:autoSpaceDN w:val="0"/>
        <w:adjustRightInd w:val="0"/>
        <w:rPr>
          <w:sz w:val="22"/>
          <w:lang w:val="en-GB" w:bidi="en-GB"/>
        </w:rPr>
      </w:pPr>
    </w:p>
    <w:p w14:paraId="099A5155" w14:textId="76D81B0E" w:rsidR="004D3BB5" w:rsidRPr="00A817B2" w:rsidRDefault="004D3BB5" w:rsidP="004D3BB5">
      <w:pPr>
        <w:autoSpaceDE w:val="0"/>
        <w:autoSpaceDN w:val="0"/>
        <w:adjustRightInd w:val="0"/>
        <w:rPr>
          <w:rFonts w:cs="Arial"/>
          <w:sz w:val="22"/>
          <w:szCs w:val="22"/>
        </w:rPr>
      </w:pPr>
      <w:r w:rsidRPr="003A6C9D">
        <w:rPr>
          <w:sz w:val="22"/>
          <w:lang w:val="en-GB" w:bidi="en-GB"/>
        </w:rPr>
        <w:t>Blood-based biomarkers have the benefit of being detectable by a simple blood test in a doctor’s office, hospital or laboratory and can be combined with other markers as part of routine health monitoring. Currently, they are only used for research purposes. Clinical use cannot be expected until technical details, such as normality/</w:t>
      </w:r>
      <w:proofErr w:type="spellStart"/>
      <w:r w:rsidRPr="003A6C9D">
        <w:rPr>
          <w:sz w:val="22"/>
          <w:lang w:val="en-GB" w:bidi="en-GB"/>
        </w:rPr>
        <w:t>anormality</w:t>
      </w:r>
      <w:proofErr w:type="spellEnd"/>
      <w:r w:rsidRPr="003A6C9D">
        <w:rPr>
          <w:sz w:val="22"/>
          <w:lang w:val="en-GB" w:bidi="en-GB"/>
        </w:rPr>
        <w:t xml:space="preserve"> thresholds and the standards to be applied by the various laboratories, are established. However, this could soon become a reality, which would have the advantage of involving attending physicians from the first stage of diagnosis and ensuring that the costs are covered by health insurance companies.</w:t>
      </w:r>
    </w:p>
    <w:p w14:paraId="002EF290" w14:textId="77777777" w:rsidR="004D3BB5" w:rsidRPr="00A817B2" w:rsidRDefault="004D3BB5" w:rsidP="004D3BB5">
      <w:pPr>
        <w:autoSpaceDE w:val="0"/>
        <w:autoSpaceDN w:val="0"/>
        <w:adjustRightInd w:val="0"/>
        <w:rPr>
          <w:rFonts w:cs="Arial"/>
          <w:sz w:val="22"/>
          <w:szCs w:val="22"/>
        </w:rPr>
      </w:pPr>
    </w:p>
    <w:p w14:paraId="241C3922" w14:textId="659D2024" w:rsidR="004D3BB5" w:rsidRPr="00A817B2" w:rsidRDefault="004D3BB5" w:rsidP="004D3BB5">
      <w:pPr>
        <w:rPr>
          <w:rFonts w:ascii="Calibri" w:hAnsi="Calibri"/>
        </w:rPr>
      </w:pPr>
      <w:r>
        <w:rPr>
          <w:sz w:val="22"/>
          <w:lang w:val="en-GB" w:bidi="en-GB"/>
        </w:rPr>
        <w:t>As Prof. Giovanni Frisoni, head of the study, director of the HUG Memory Centre and full professor in the Department of Rehabilitation and Geriatrics at the UNIG</w:t>
      </w:r>
      <w:r w:rsidR="0069323C">
        <w:rPr>
          <w:sz w:val="22"/>
          <w:lang w:val="en-GB" w:bidi="en-GB"/>
        </w:rPr>
        <w:t>E</w:t>
      </w:r>
      <w:r>
        <w:rPr>
          <w:sz w:val="22"/>
          <w:lang w:val="en-GB" w:bidi="en-GB"/>
        </w:rPr>
        <w:t xml:space="preserve"> Faculty of Medicine, points out, ‘the use of blood</w:t>
      </w:r>
      <w:r w:rsidR="008940F1">
        <w:rPr>
          <w:sz w:val="22"/>
          <w:lang w:val="en-GB" w:bidi="en-GB"/>
        </w:rPr>
        <w:t>-based</w:t>
      </w:r>
      <w:r>
        <w:rPr>
          <w:sz w:val="22"/>
          <w:lang w:val="en-GB" w:bidi="en-GB"/>
        </w:rPr>
        <w:t xml:space="preserve"> biomarkers in the general practitioner’s office, for example, would considerably reduce the number of diagnostic examinations, generate significant savings and improve </w:t>
      </w:r>
      <w:proofErr w:type="gramStart"/>
      <w:r>
        <w:rPr>
          <w:sz w:val="22"/>
          <w:lang w:val="en-GB" w:bidi="en-GB"/>
        </w:rPr>
        <w:t>outcomes’</w:t>
      </w:r>
      <w:proofErr w:type="gramEnd"/>
      <w:r>
        <w:rPr>
          <w:sz w:val="22"/>
          <w:lang w:val="en-GB" w:bidi="en-GB"/>
        </w:rPr>
        <w:t xml:space="preserve">. </w:t>
      </w:r>
    </w:p>
    <w:p w14:paraId="69C89761" w14:textId="77777777" w:rsidR="004D3BB5" w:rsidRPr="00A817B2" w:rsidRDefault="004D3BB5" w:rsidP="004D3BB5">
      <w:pPr>
        <w:spacing w:after="120"/>
        <w:rPr>
          <w:noProof/>
        </w:rPr>
      </w:pPr>
    </w:p>
    <w:p w14:paraId="4F645E25" w14:textId="77777777" w:rsidR="004D3BB5" w:rsidRPr="00AB1D07" w:rsidRDefault="004D3BB5" w:rsidP="004D3BB5">
      <w:pPr>
        <w:pStyle w:val="HUGsous-titre"/>
        <w:spacing w:after="120"/>
        <w:rPr>
          <w:rFonts w:ascii="Arial" w:hAnsi="Arial" w:cs="Arial"/>
          <w:noProof/>
          <w:lang w:val="fr-CH"/>
        </w:rPr>
      </w:pPr>
      <w:r w:rsidRPr="00AB1D07">
        <w:rPr>
          <w:rFonts w:ascii="Arial" w:hAnsi="Arial" w:cs="Arial"/>
          <w:noProof/>
          <w:lang w:val="fr-CH"/>
        </w:rPr>
        <w:t>More refined testing technique</w:t>
      </w:r>
    </w:p>
    <w:p w14:paraId="587C9F96" w14:textId="77777777" w:rsidR="004D3BB5" w:rsidRPr="00A817B2" w:rsidRDefault="004D3BB5" w:rsidP="004D3BB5">
      <w:pPr>
        <w:autoSpaceDE w:val="0"/>
        <w:autoSpaceDN w:val="0"/>
        <w:adjustRightInd w:val="0"/>
        <w:rPr>
          <w:rFonts w:cs="Arial"/>
          <w:sz w:val="22"/>
          <w:szCs w:val="22"/>
        </w:rPr>
      </w:pPr>
      <w:r w:rsidRPr="00903E51">
        <w:rPr>
          <w:sz w:val="22"/>
          <w:lang w:val="en-GB" w:bidi="en-GB"/>
        </w:rPr>
        <w:t xml:space="preserve">The study presented here follows the commissioning of the new high-precision machine acquired in June 2022 by the HUG Memory Centre. The machine detects the abnormal concentration of proteins specific to Alzheimer’s disease using an immunofluorescence assay technique that is more sensitive than standard assay techniques, </w:t>
      </w:r>
      <w:proofErr w:type="gramStart"/>
      <w:r w:rsidRPr="00903E51">
        <w:rPr>
          <w:sz w:val="22"/>
          <w:lang w:val="en-GB" w:bidi="en-GB"/>
        </w:rPr>
        <w:t>and also</w:t>
      </w:r>
      <w:proofErr w:type="gramEnd"/>
      <w:r w:rsidRPr="00903E51">
        <w:rPr>
          <w:sz w:val="22"/>
          <w:lang w:val="en-GB" w:bidi="en-GB"/>
        </w:rPr>
        <w:t xml:space="preserve"> aims to map people who are at high risk of developing the disease more accurately.</w:t>
      </w:r>
    </w:p>
    <w:p w14:paraId="400317C8" w14:textId="77777777" w:rsidR="004D3BB5" w:rsidRPr="00A817B2" w:rsidRDefault="004D3BB5" w:rsidP="004D3BB5">
      <w:pPr>
        <w:autoSpaceDE w:val="0"/>
        <w:autoSpaceDN w:val="0"/>
        <w:adjustRightInd w:val="0"/>
        <w:rPr>
          <w:rFonts w:cs="Arial"/>
          <w:sz w:val="22"/>
          <w:szCs w:val="22"/>
        </w:rPr>
      </w:pPr>
    </w:p>
    <w:p w14:paraId="51B428C6" w14:textId="42403E01" w:rsidR="004D3BB5" w:rsidRPr="00A817B2" w:rsidRDefault="004D3BB5" w:rsidP="004D3BB5">
      <w:pPr>
        <w:autoSpaceDE w:val="0"/>
        <w:autoSpaceDN w:val="0"/>
        <w:adjustRightInd w:val="0"/>
        <w:rPr>
          <w:rFonts w:cs="Arial"/>
          <w:sz w:val="22"/>
          <w:szCs w:val="22"/>
        </w:rPr>
      </w:pPr>
      <w:r w:rsidRPr="00903E51">
        <w:rPr>
          <w:sz w:val="22"/>
          <w:lang w:val="en-GB" w:bidi="en-GB"/>
        </w:rPr>
        <w:t>The study is based on 200 patients of the HUG Memory Centre</w:t>
      </w:r>
      <w:r w:rsidR="008940F1">
        <w:rPr>
          <w:sz w:val="22"/>
          <w:lang w:val="en-GB" w:bidi="en-GB"/>
        </w:rPr>
        <w:t>, including 82 patients</w:t>
      </w:r>
      <w:r w:rsidRPr="00903E51">
        <w:rPr>
          <w:sz w:val="22"/>
          <w:lang w:val="en-GB" w:bidi="en-GB"/>
        </w:rPr>
        <w:t xml:space="preserve"> without cognitive disorders, </w:t>
      </w:r>
      <w:r w:rsidR="008940F1">
        <w:rPr>
          <w:sz w:val="22"/>
          <w:lang w:val="en-GB" w:bidi="en-GB"/>
        </w:rPr>
        <w:t xml:space="preserve">99 </w:t>
      </w:r>
      <w:r w:rsidRPr="00903E51">
        <w:rPr>
          <w:sz w:val="22"/>
          <w:lang w:val="en-GB" w:bidi="en-GB"/>
        </w:rPr>
        <w:t xml:space="preserve">with mild cognitive impairment </w:t>
      </w:r>
      <w:r w:rsidR="008940F1">
        <w:rPr>
          <w:sz w:val="22"/>
          <w:lang w:val="en-GB" w:bidi="en-GB"/>
        </w:rPr>
        <w:t xml:space="preserve">and </w:t>
      </w:r>
      <w:proofErr w:type="gramStart"/>
      <w:r w:rsidR="008940F1">
        <w:rPr>
          <w:sz w:val="22"/>
          <w:lang w:val="en-GB" w:bidi="en-GB"/>
        </w:rPr>
        <w:t xml:space="preserve">19 </w:t>
      </w:r>
      <w:r w:rsidRPr="00903E51">
        <w:rPr>
          <w:sz w:val="22"/>
          <w:lang w:val="en-GB" w:bidi="en-GB"/>
        </w:rPr>
        <w:t xml:space="preserve"> with</w:t>
      </w:r>
      <w:proofErr w:type="gramEnd"/>
      <w:r w:rsidRPr="00903E51">
        <w:rPr>
          <w:sz w:val="22"/>
          <w:lang w:val="en-GB" w:bidi="en-GB"/>
        </w:rPr>
        <w:t xml:space="preserve"> dementia </w:t>
      </w:r>
      <w:r w:rsidR="008940F1">
        <w:rPr>
          <w:sz w:val="22"/>
          <w:lang w:val="en-GB" w:bidi="en-GB"/>
        </w:rPr>
        <w:t>.</w:t>
      </w:r>
      <w:r w:rsidRPr="00903E51">
        <w:rPr>
          <w:sz w:val="22"/>
          <w:lang w:val="en-GB" w:bidi="en-GB"/>
        </w:rPr>
        <w:t>The researchers had plasma biomarkers and at least one traditional biomarker collected from each patient within 12 months.</w:t>
      </w:r>
    </w:p>
    <w:p w14:paraId="078D1AF6" w14:textId="77777777" w:rsidR="004D3BB5" w:rsidRPr="00A817B2" w:rsidRDefault="004D3BB5" w:rsidP="004D3BB5">
      <w:pPr>
        <w:spacing w:after="120"/>
        <w:jc w:val="left"/>
        <w:rPr>
          <w:noProof/>
        </w:rPr>
      </w:pPr>
    </w:p>
    <w:p w14:paraId="08868C23" w14:textId="5357DB0E" w:rsidR="004D3BB5" w:rsidRPr="00E61292" w:rsidRDefault="004D3BB5" w:rsidP="00E61292">
      <w:pPr>
        <w:pStyle w:val="HUGsous-titre"/>
        <w:spacing w:after="120"/>
        <w:rPr>
          <w:rFonts w:asciiTheme="minorBidi" w:hAnsiTheme="minorBidi" w:cstheme="minorBidi"/>
          <w:noProof/>
        </w:rPr>
      </w:pPr>
      <w:r w:rsidRPr="00AB1D07">
        <w:rPr>
          <w:rFonts w:ascii="Arial" w:hAnsi="Arial" w:cs="Arial"/>
          <w:noProof/>
          <w:lang w:val="en-GB"/>
        </w:rPr>
        <w:t>Advantages and disadvantages of the different techniques</w:t>
      </w:r>
    </w:p>
    <w:p w14:paraId="2CBAE079" w14:textId="11E842E1" w:rsidR="004D3BB5" w:rsidRPr="00A817B2" w:rsidRDefault="004D3BB5" w:rsidP="004D3BB5">
      <w:pPr>
        <w:autoSpaceDE w:val="0"/>
        <w:autoSpaceDN w:val="0"/>
        <w:adjustRightInd w:val="0"/>
        <w:rPr>
          <w:rFonts w:cs="Arial"/>
          <w:sz w:val="22"/>
          <w:szCs w:val="22"/>
        </w:rPr>
      </w:pPr>
      <w:r w:rsidRPr="00903E51">
        <w:rPr>
          <w:sz w:val="22"/>
          <w:lang w:val="en-GB" w:bidi="en-GB"/>
        </w:rPr>
        <w:t>Neuroimaging techniques allow direct, visual measurement of AD biomarkers and provide valuable information on their topography, but their information is limited to individual biomarkers (</w:t>
      </w:r>
      <w:r w:rsidR="00806F17">
        <w:rPr>
          <w:sz w:val="22"/>
          <w:lang w:val="en-GB" w:bidi="en-GB"/>
        </w:rPr>
        <w:t>a</w:t>
      </w:r>
      <w:r w:rsidR="00806F17" w:rsidRPr="00903E51">
        <w:rPr>
          <w:sz w:val="22"/>
          <w:lang w:val="en-GB" w:bidi="en-GB"/>
        </w:rPr>
        <w:t>myloid</w:t>
      </w:r>
      <w:r w:rsidRPr="00903E51">
        <w:rPr>
          <w:sz w:val="22"/>
          <w:lang w:val="en-GB" w:bidi="en-GB"/>
        </w:rPr>
        <w:t xml:space="preserve">, </w:t>
      </w:r>
      <w:proofErr w:type="gramStart"/>
      <w:r w:rsidR="00806F17">
        <w:rPr>
          <w:sz w:val="22"/>
          <w:lang w:val="en-GB" w:bidi="en-GB"/>
        </w:rPr>
        <w:t>t</w:t>
      </w:r>
      <w:r w:rsidR="00806F17" w:rsidRPr="00903E51">
        <w:rPr>
          <w:sz w:val="22"/>
          <w:lang w:val="en-GB" w:bidi="en-GB"/>
        </w:rPr>
        <w:t>au</w:t>
      </w:r>
      <w:proofErr w:type="gramEnd"/>
      <w:r w:rsidR="00806F17" w:rsidRPr="00903E51">
        <w:rPr>
          <w:sz w:val="22"/>
          <w:lang w:val="en-GB" w:bidi="en-GB"/>
        </w:rPr>
        <w:t xml:space="preserve"> </w:t>
      </w:r>
      <w:r w:rsidRPr="00903E51">
        <w:rPr>
          <w:sz w:val="22"/>
          <w:lang w:val="en-GB" w:bidi="en-GB"/>
        </w:rPr>
        <w:t xml:space="preserve">or </w:t>
      </w:r>
      <w:r w:rsidR="00806F17">
        <w:rPr>
          <w:sz w:val="22"/>
          <w:lang w:val="en-GB" w:bidi="en-GB"/>
        </w:rPr>
        <w:t>n</w:t>
      </w:r>
      <w:r w:rsidR="00806F17" w:rsidRPr="00903E51">
        <w:rPr>
          <w:sz w:val="22"/>
          <w:lang w:val="en-GB" w:bidi="en-GB"/>
        </w:rPr>
        <w:t>eurodegeneration</w:t>
      </w:r>
      <w:r w:rsidRPr="00903E51">
        <w:rPr>
          <w:sz w:val="22"/>
          <w:lang w:val="en-GB" w:bidi="en-GB"/>
        </w:rPr>
        <w:t>). They are more expensive and may involve small amounts of radiation.</w:t>
      </w:r>
    </w:p>
    <w:p w14:paraId="18425FEB" w14:textId="77777777" w:rsidR="004D3BB5" w:rsidRPr="00A817B2" w:rsidRDefault="004D3BB5" w:rsidP="004D3BB5">
      <w:pPr>
        <w:autoSpaceDE w:val="0"/>
        <w:autoSpaceDN w:val="0"/>
        <w:adjustRightInd w:val="0"/>
        <w:rPr>
          <w:rFonts w:cs="Arial"/>
          <w:sz w:val="22"/>
          <w:szCs w:val="22"/>
        </w:rPr>
      </w:pPr>
    </w:p>
    <w:p w14:paraId="45668BAB" w14:textId="28BB14AF" w:rsidR="004D3BB5" w:rsidRPr="00A817B2" w:rsidRDefault="004D3BB5" w:rsidP="004D3BB5">
      <w:pPr>
        <w:autoSpaceDE w:val="0"/>
        <w:autoSpaceDN w:val="0"/>
        <w:adjustRightInd w:val="0"/>
        <w:rPr>
          <w:rFonts w:cs="Arial"/>
          <w:sz w:val="22"/>
          <w:szCs w:val="22"/>
        </w:rPr>
      </w:pPr>
      <w:r w:rsidRPr="00903E51">
        <w:rPr>
          <w:sz w:val="22"/>
          <w:lang w:val="en-GB" w:bidi="en-GB"/>
        </w:rPr>
        <w:t xml:space="preserve">Cerebrospinal fluid analysis by lumbar puncture is less expensive and more accessible. It provides information on </w:t>
      </w:r>
      <w:r w:rsidR="00806F17">
        <w:rPr>
          <w:sz w:val="22"/>
          <w:lang w:val="en-GB" w:bidi="en-GB"/>
        </w:rPr>
        <w:t>several</w:t>
      </w:r>
      <w:r w:rsidRPr="00903E51">
        <w:rPr>
          <w:sz w:val="22"/>
          <w:lang w:val="en-GB" w:bidi="en-GB"/>
        </w:rPr>
        <w:t xml:space="preserve"> biomarkers of the </w:t>
      </w:r>
      <w:r w:rsidR="00806F17">
        <w:rPr>
          <w:sz w:val="22"/>
          <w:lang w:val="en-GB" w:bidi="en-GB"/>
        </w:rPr>
        <w:t xml:space="preserve">Alzheimer’s disease </w:t>
      </w:r>
      <w:r w:rsidRPr="00903E51">
        <w:rPr>
          <w:sz w:val="22"/>
          <w:lang w:val="en-GB" w:bidi="en-GB"/>
        </w:rPr>
        <w:t>at once, among other factors, but it does not provide information on the topography of the markers and patients are sometimes reluctant to accept it since it is invasive.</w:t>
      </w:r>
    </w:p>
    <w:p w14:paraId="0A08FC09" w14:textId="77777777" w:rsidR="004D3BB5" w:rsidRPr="00A817B2" w:rsidRDefault="004D3BB5" w:rsidP="004D3BB5">
      <w:pPr>
        <w:autoSpaceDE w:val="0"/>
        <w:autoSpaceDN w:val="0"/>
        <w:adjustRightInd w:val="0"/>
        <w:rPr>
          <w:rFonts w:cs="Arial"/>
          <w:sz w:val="22"/>
          <w:szCs w:val="22"/>
        </w:rPr>
      </w:pPr>
    </w:p>
    <w:p w14:paraId="15B9A1BD" w14:textId="46B3B29D" w:rsidR="004D3BB5" w:rsidRPr="00A817B2" w:rsidRDefault="004D3BB5" w:rsidP="004D3BB5">
      <w:pPr>
        <w:autoSpaceDE w:val="0"/>
        <w:autoSpaceDN w:val="0"/>
        <w:adjustRightInd w:val="0"/>
        <w:rPr>
          <w:rFonts w:cs="Arial"/>
          <w:sz w:val="22"/>
          <w:szCs w:val="22"/>
        </w:rPr>
      </w:pPr>
      <w:r w:rsidRPr="00903E51">
        <w:rPr>
          <w:sz w:val="22"/>
          <w:lang w:val="en-GB" w:bidi="en-GB"/>
        </w:rPr>
        <w:t xml:space="preserve">Plasma (blood) has the same advantages as the previous technique, but its wide accessibility would allow for large-scale screening for Alzheimer’s disease. It would make it possible to better identify patients who should undergo neuroimaging or lumbar puncture and to monitor the </w:t>
      </w:r>
      <w:r w:rsidR="00806F17">
        <w:rPr>
          <w:sz w:val="22"/>
          <w:lang w:val="en-GB" w:bidi="en-GB"/>
        </w:rPr>
        <w:t xml:space="preserve">disease </w:t>
      </w:r>
      <w:r w:rsidRPr="00903E51">
        <w:rPr>
          <w:sz w:val="22"/>
          <w:lang w:val="en-GB" w:bidi="en-GB"/>
        </w:rPr>
        <w:t xml:space="preserve">progression through regular sampling. These advantages are </w:t>
      </w:r>
      <w:r w:rsidR="00806F17">
        <w:rPr>
          <w:sz w:val="22"/>
          <w:lang w:val="en-GB" w:bidi="en-GB"/>
        </w:rPr>
        <w:t>driving</w:t>
      </w:r>
      <w:r w:rsidR="00806F17" w:rsidRPr="00903E51">
        <w:rPr>
          <w:sz w:val="22"/>
          <w:lang w:val="en-GB" w:bidi="en-GB"/>
        </w:rPr>
        <w:t xml:space="preserve"> </w:t>
      </w:r>
      <w:r w:rsidRPr="00903E51">
        <w:rPr>
          <w:sz w:val="22"/>
          <w:lang w:val="en-GB" w:bidi="en-GB"/>
        </w:rPr>
        <w:t>researchers to define the above-mentioned technical details that will permit routine clinical use.</w:t>
      </w:r>
    </w:p>
    <w:p w14:paraId="0D7E998B" w14:textId="77777777" w:rsidR="004D3BB5" w:rsidRPr="00A817B2" w:rsidRDefault="004D3BB5" w:rsidP="004D3BB5">
      <w:pPr>
        <w:spacing w:after="120"/>
        <w:rPr>
          <w:noProof/>
        </w:rPr>
      </w:pPr>
    </w:p>
    <w:p w14:paraId="4CD520B8" w14:textId="77777777" w:rsidR="004D3BB5" w:rsidRPr="00AB1D07" w:rsidRDefault="004D3BB5" w:rsidP="004D3BB5">
      <w:pPr>
        <w:pStyle w:val="HUGsous-titre"/>
        <w:spacing w:after="120"/>
        <w:rPr>
          <w:rFonts w:ascii="Arial" w:hAnsi="Arial" w:cs="Arial"/>
          <w:noProof/>
          <w:lang w:val="en-GB"/>
        </w:rPr>
      </w:pPr>
      <w:r w:rsidRPr="00AB1D07">
        <w:rPr>
          <w:rFonts w:ascii="Arial" w:hAnsi="Arial" w:cs="Arial"/>
          <w:noProof/>
          <w:lang w:val="en-GB"/>
        </w:rPr>
        <w:t>Rapid diagnostic progress</w:t>
      </w:r>
    </w:p>
    <w:p w14:paraId="275507AA" w14:textId="33CD77D2" w:rsidR="004D3BB5" w:rsidRDefault="004D3BB5" w:rsidP="004D3BB5">
      <w:pPr>
        <w:autoSpaceDE w:val="0"/>
        <w:autoSpaceDN w:val="0"/>
        <w:adjustRightInd w:val="0"/>
        <w:rPr>
          <w:sz w:val="22"/>
          <w:lang w:val="en-GB" w:bidi="en-GB"/>
        </w:rPr>
      </w:pPr>
      <w:r w:rsidRPr="003A6C9D">
        <w:rPr>
          <w:sz w:val="22"/>
          <w:lang w:val="en-GB" w:bidi="en-GB"/>
        </w:rPr>
        <w:t>The first diagnostic criteria for Alzheimer’s disease, published in 1984, assumed that a definitive diagnosis of the disease was only possible post mortem, based on histopathological evidence. Since then, a better understanding of the pathophysiology of the disease and technological advances have led to the development of new techniques for evaluating biomarkers that can detect signs of the disease and improve patients’ quality of life. As a result, they have been progressively introduced into clinical practice and their use continues to grow, in line with the most recent diagnostic criteria that recognise their essential pathophysiological significance.</w:t>
      </w:r>
    </w:p>
    <w:p w14:paraId="6C7A88DB" w14:textId="77777777" w:rsidR="0069323C" w:rsidRPr="00A817B2" w:rsidRDefault="0069323C" w:rsidP="004D3BB5">
      <w:pPr>
        <w:autoSpaceDE w:val="0"/>
        <w:autoSpaceDN w:val="0"/>
        <w:adjustRightInd w:val="0"/>
        <w:rPr>
          <w:rFonts w:cs="Arial"/>
          <w:sz w:val="22"/>
          <w:szCs w:val="22"/>
        </w:rPr>
      </w:pPr>
    </w:p>
    <w:p w14:paraId="0413CFEA" w14:textId="77777777" w:rsidR="004D3BB5" w:rsidRPr="004D3BB5" w:rsidRDefault="004D3BB5" w:rsidP="004D3BB5">
      <w:pPr>
        <w:pStyle w:val="Standard"/>
        <w:rPr>
          <w:b/>
          <w:lang w:val="en-GB"/>
        </w:rPr>
      </w:pPr>
    </w:p>
    <w:p w14:paraId="071BFE9B" w14:textId="77777777" w:rsidR="004D3BB5" w:rsidRPr="004D3BB5" w:rsidRDefault="004D3BB5" w:rsidP="004D3BB5">
      <w:pPr>
        <w:pStyle w:val="Standard"/>
        <w:rPr>
          <w:lang w:val="en-GB"/>
        </w:rPr>
      </w:pPr>
      <w:r w:rsidRPr="004D3BB5">
        <w:rPr>
          <w:b/>
          <w:lang w:val="en-GB" w:bidi="en-GB"/>
        </w:rPr>
        <w:t>For more information</w:t>
      </w:r>
    </w:p>
    <w:p w14:paraId="5803356E" w14:textId="77777777" w:rsidR="004D3BB5" w:rsidRPr="004D3BB5" w:rsidRDefault="004D3BB5" w:rsidP="004D3BB5">
      <w:pPr>
        <w:pStyle w:val="Standard"/>
        <w:rPr>
          <w:lang w:val="en-GB"/>
        </w:rPr>
      </w:pPr>
      <w:r w:rsidRPr="004D3BB5">
        <w:rPr>
          <w:lang w:val="en-GB" w:bidi="en-GB"/>
        </w:rPr>
        <w:t>HUG, Press and Public Relations Department</w:t>
      </w:r>
    </w:p>
    <w:p w14:paraId="0E25B4D9" w14:textId="77777777" w:rsidR="004D3BB5" w:rsidRPr="004D3BB5" w:rsidRDefault="004D3BB5" w:rsidP="004D3BB5">
      <w:pPr>
        <w:pStyle w:val="Standard"/>
        <w:rPr>
          <w:lang w:val="it-CH"/>
        </w:rPr>
      </w:pPr>
      <w:r w:rsidRPr="004D3BB5">
        <w:rPr>
          <w:lang w:val="it-CH" w:bidi="en-GB"/>
        </w:rPr>
        <w:t>presse-hug@hcuge.ch</w:t>
      </w:r>
    </w:p>
    <w:p w14:paraId="5797B449" w14:textId="77777777" w:rsidR="004D3BB5" w:rsidRPr="004D3BB5" w:rsidRDefault="004D3BB5" w:rsidP="004D3BB5">
      <w:pPr>
        <w:pStyle w:val="Standard"/>
        <w:rPr>
          <w:lang w:val="it-CH"/>
        </w:rPr>
      </w:pPr>
      <w:r w:rsidRPr="004D3BB5">
        <w:rPr>
          <w:lang w:val="it-CH" w:bidi="en-GB"/>
        </w:rPr>
        <w:t>+41 22 372 37 37</w:t>
      </w:r>
    </w:p>
    <w:p w14:paraId="71EC2AFC" w14:textId="77777777" w:rsidR="004D3BB5" w:rsidRPr="004D3BB5" w:rsidRDefault="004D3BB5" w:rsidP="004D3BB5">
      <w:pPr>
        <w:pStyle w:val="Standard"/>
        <w:rPr>
          <w:lang w:val="it-CH"/>
        </w:rPr>
      </w:pPr>
    </w:p>
    <w:p w14:paraId="0C39F6EB" w14:textId="77777777" w:rsidR="004D3BB5" w:rsidRPr="004D3BB5" w:rsidRDefault="004D3BB5" w:rsidP="004D3BB5">
      <w:pPr>
        <w:pStyle w:val="Standard"/>
        <w:rPr>
          <w:lang w:val="it-CH"/>
        </w:rPr>
      </w:pPr>
      <w:r w:rsidRPr="004D3BB5">
        <w:rPr>
          <w:lang w:val="it-CH" w:bidi="en-GB"/>
        </w:rPr>
        <w:t>UNIGE, Media Service</w:t>
      </w:r>
    </w:p>
    <w:p w14:paraId="26C2421B" w14:textId="77777777" w:rsidR="004D3BB5" w:rsidRPr="002E3E18" w:rsidRDefault="004D3BB5" w:rsidP="004D3BB5">
      <w:pPr>
        <w:pStyle w:val="Standard"/>
        <w:rPr>
          <w:lang w:val="de-CH"/>
        </w:rPr>
      </w:pPr>
      <w:r w:rsidRPr="002E3E18">
        <w:rPr>
          <w:lang w:val="de-CH" w:bidi="en-GB"/>
        </w:rPr>
        <w:t>media@unige.ch</w:t>
      </w:r>
    </w:p>
    <w:p w14:paraId="056ECA26" w14:textId="77777777" w:rsidR="004D3BB5" w:rsidRDefault="004D3BB5" w:rsidP="004D3BB5">
      <w:pPr>
        <w:pStyle w:val="Standard"/>
      </w:pPr>
      <w:r>
        <w:rPr>
          <w:lang w:bidi="en-GB"/>
        </w:rPr>
        <w:t>+41 22 379 77 96</w:t>
      </w:r>
    </w:p>
    <w:p w14:paraId="064DBA19" w14:textId="77777777" w:rsidR="004D3BB5" w:rsidRDefault="004D3BB5" w:rsidP="004D3BB5">
      <w:pPr>
        <w:pStyle w:val="Standard"/>
      </w:pPr>
    </w:p>
    <w:p w14:paraId="6EE8FD96" w14:textId="77777777" w:rsidR="004D3BB5" w:rsidRDefault="004D3BB5" w:rsidP="004D3BB5">
      <w:pPr>
        <w:pStyle w:val="Standard"/>
      </w:pPr>
    </w:p>
    <w:p w14:paraId="7B555FA5" w14:textId="77777777" w:rsidR="004D3BB5" w:rsidRDefault="004D3BB5" w:rsidP="004D3BB5">
      <w:pPr>
        <w:pStyle w:val="Standard"/>
      </w:pPr>
    </w:p>
    <w:p w14:paraId="15433C66" w14:textId="77777777" w:rsidR="004D3BB5" w:rsidRDefault="004D3BB5" w:rsidP="004D3BB5">
      <w:pPr>
        <w:pStyle w:val="Standard"/>
      </w:pPr>
    </w:p>
    <w:p w14:paraId="4F70C77B" w14:textId="77777777" w:rsidR="004D3BB5" w:rsidRDefault="004D3BB5" w:rsidP="004D3BB5">
      <w:pPr>
        <w:pStyle w:val="Standard"/>
      </w:pPr>
    </w:p>
    <w:p w14:paraId="34A19CE4" w14:textId="77777777" w:rsidR="004D3BB5" w:rsidRDefault="004D3BB5" w:rsidP="004D3BB5">
      <w:pPr>
        <w:pStyle w:val="Standard"/>
      </w:pPr>
    </w:p>
    <w:p w14:paraId="370C9D30" w14:textId="77777777" w:rsidR="004D3BB5" w:rsidRDefault="004D3BB5" w:rsidP="004D3BB5">
      <w:pPr>
        <w:pStyle w:val="Standard"/>
      </w:pPr>
    </w:p>
    <w:p w14:paraId="79F7036A" w14:textId="77777777" w:rsidR="004D3BB5" w:rsidRDefault="004D3BB5" w:rsidP="004D3BB5">
      <w:pPr>
        <w:pStyle w:val="Standard"/>
      </w:pPr>
    </w:p>
    <w:p w14:paraId="144AF691" w14:textId="77777777" w:rsidR="004D3BB5" w:rsidRDefault="004D3BB5" w:rsidP="004D3BB5">
      <w:r>
        <w:rPr>
          <w:noProof/>
          <w:lang w:val="en-GB" w:bidi="en-GB"/>
        </w:rPr>
        <mc:AlternateContent>
          <mc:Choice Requires="wps">
            <w:drawing>
              <wp:anchor distT="0" distB="0" distL="114300" distR="114300" simplePos="0" relativeHeight="251663360" behindDoc="0" locked="0" layoutInCell="1" allowOverlap="1" wp14:anchorId="644D7B3C" wp14:editId="0B7D8D88">
                <wp:simplePos x="0" y="0"/>
                <wp:positionH relativeFrom="margin">
                  <wp:align>left</wp:align>
                </wp:positionH>
                <wp:positionV relativeFrom="paragraph">
                  <wp:posOffset>20955</wp:posOffset>
                </wp:positionV>
                <wp:extent cx="5563870" cy="1384814"/>
                <wp:effectExtent l="0" t="0" r="17780" b="2540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384814"/>
                        </a:xfrm>
                        <a:prstGeom prst="rect">
                          <a:avLst/>
                        </a:prstGeom>
                        <a:solidFill>
                          <a:srgbClr val="FFFFFF"/>
                        </a:solidFill>
                        <a:ln w="9525">
                          <a:solidFill>
                            <a:srgbClr val="000000"/>
                          </a:solidFill>
                          <a:miter lim="800000"/>
                          <a:headEnd/>
                          <a:tailEnd/>
                        </a:ln>
                      </wps:spPr>
                      <wps:txbx>
                        <w:txbxContent>
                          <w:p w14:paraId="6C6F4007" w14:textId="77777777" w:rsidR="00782B93" w:rsidRPr="00C17EB1" w:rsidRDefault="00782B93" w:rsidP="00782B93">
                            <w:pPr>
                              <w:rPr>
                                <w:rFonts w:cs="Arial"/>
                                <w:b/>
                                <w:sz w:val="16"/>
                                <w:lang w:val="en-GB"/>
                              </w:rPr>
                            </w:pPr>
                            <w:r w:rsidRPr="00C17EB1">
                              <w:rPr>
                                <w:rFonts w:cs="Arial"/>
                                <w:b/>
                                <w:sz w:val="16"/>
                                <w:lang w:val="en-GB"/>
                              </w:rPr>
                              <w:t>The HUG: Care, Teaching, and leading-edge Research</w:t>
                            </w:r>
                          </w:p>
                          <w:p w14:paraId="02F8440F" w14:textId="77777777" w:rsidR="00782B93" w:rsidRPr="00114806" w:rsidRDefault="00782B93" w:rsidP="00782B93">
                            <w:pPr>
                              <w:rPr>
                                <w:rFonts w:cs="Arial"/>
                                <w:sz w:val="18"/>
                                <w:szCs w:val="18"/>
                                <w:lang w:val="en-GB"/>
                              </w:rPr>
                            </w:pPr>
                            <w:r w:rsidRPr="00C17EB1">
                              <w:rPr>
                                <w:rFonts w:cs="Arial"/>
                                <w:sz w:val="16"/>
                                <w:lang w:val="en-GB"/>
                              </w:rPr>
                              <w:t xml:space="preserve">The Geneva University Hospital (HUG) comprises </w:t>
                            </w:r>
                            <w:hyperlink r:id="rId9" w:history="1">
                              <w:r w:rsidRPr="00C17EB1">
                                <w:rPr>
                                  <w:rStyle w:val="Lienhypertexte"/>
                                  <w:rFonts w:cs="Arial"/>
                                  <w:sz w:val="16"/>
                                  <w:lang w:val="en-GB"/>
                                </w:rPr>
                                <w:t>eight public hospitals and two clinics</w:t>
                              </w:r>
                            </w:hyperlink>
                            <w:r w:rsidRPr="00C17EB1">
                              <w:rPr>
                                <w:rFonts w:cs="Arial"/>
                                <w:sz w:val="16"/>
                                <w:lang w:val="en-GB"/>
                              </w:rPr>
                              <w:t xml:space="preserve">. Theirs missions are to provide health care to the community in all medical specialties, to help train physicians and health professionals, and to conduct medical and clinical research. The HUG operate as a national reference centre for </w:t>
                            </w:r>
                            <w:hyperlink r:id="rId10" w:history="1">
                              <w:r w:rsidRPr="00C17EB1">
                                <w:rPr>
                                  <w:rStyle w:val="Lienhypertexte"/>
                                  <w:rFonts w:cs="Arial"/>
                                  <w:sz w:val="16"/>
                                  <w:lang w:val="en-GB"/>
                                </w:rPr>
                                <w:t>influenza</w:t>
                              </w:r>
                            </w:hyperlink>
                            <w:r w:rsidRPr="00C17EB1">
                              <w:rPr>
                                <w:rFonts w:cs="Arial"/>
                                <w:sz w:val="16"/>
                                <w:lang w:val="en-GB"/>
                              </w:rPr>
                              <w:t xml:space="preserve">, </w:t>
                            </w:r>
                            <w:hyperlink r:id="rId11" w:history="1">
                              <w:r w:rsidRPr="00C17EB1">
                                <w:rPr>
                                  <w:rStyle w:val="Lienhypertexte"/>
                                  <w:rFonts w:cs="Arial"/>
                                  <w:sz w:val="16"/>
                                  <w:lang w:val="en-GB"/>
                                </w:rPr>
                                <w:t>emerging viral infections</w:t>
                              </w:r>
                            </w:hyperlink>
                            <w:r w:rsidRPr="00C17EB1">
                              <w:rPr>
                                <w:rFonts w:cs="Arial"/>
                                <w:sz w:val="16"/>
                                <w:lang w:val="en-GB"/>
                              </w:rPr>
                              <w:t xml:space="preserve">, </w:t>
                            </w:r>
                            <w:hyperlink r:id="rId12" w:history="1">
                              <w:r w:rsidRPr="00C17EB1">
                                <w:rPr>
                                  <w:rStyle w:val="Lienhypertexte"/>
                                  <w:rFonts w:cs="Arial"/>
                                  <w:sz w:val="16"/>
                                  <w:lang w:val="en-GB"/>
                                </w:rPr>
                                <w:t>meningococcus</w:t>
                              </w:r>
                            </w:hyperlink>
                            <w:r w:rsidRPr="00C17EB1">
                              <w:rPr>
                                <w:rFonts w:cs="Arial"/>
                                <w:sz w:val="16"/>
                                <w:lang w:val="en-GB"/>
                              </w:rPr>
                              <w:t xml:space="preserve">, and transplant immunology, and are the </w:t>
                            </w:r>
                            <w:hyperlink r:id="rId13" w:history="1">
                              <w:r w:rsidRPr="00C17EB1">
                                <w:rPr>
                                  <w:rStyle w:val="Lienhypertexte"/>
                                  <w:rFonts w:cs="Arial"/>
                                  <w:sz w:val="16"/>
                                  <w:lang w:val="en-GB"/>
                                </w:rPr>
                                <w:t>national reference laboratory for histocompatibility</w:t>
                              </w:r>
                            </w:hyperlink>
                            <w:r w:rsidRPr="00C17EB1">
                              <w:rPr>
                                <w:rFonts w:cs="Arial"/>
                                <w:sz w:val="16"/>
                                <w:lang w:val="en-GB"/>
                              </w:rPr>
                              <w:t xml:space="preserve">. They are also a WHO Collaborating Centre </w:t>
                            </w:r>
                            <w:hyperlink r:id="rId14" w:history="1">
                              <w:r w:rsidRPr="00C17EB1">
                                <w:rPr>
                                  <w:rStyle w:val="Lienhypertexte"/>
                                  <w:rFonts w:cs="Arial"/>
                                  <w:sz w:val="16"/>
                                  <w:lang w:val="en-GB"/>
                                </w:rPr>
                                <w:t>in six areas</w:t>
                              </w:r>
                            </w:hyperlink>
                            <w:r w:rsidRPr="00C17EB1">
                              <w:rPr>
                                <w:rFonts w:cs="Arial"/>
                                <w:sz w:val="16"/>
                                <w:lang w:val="en-GB"/>
                              </w:rPr>
                              <w:t xml:space="preserve">, as well as </w:t>
                            </w:r>
                            <w:hyperlink r:id="rId15" w:history="1">
                              <w:r w:rsidRPr="00C17EB1">
                                <w:rPr>
                                  <w:rStyle w:val="Lienhypertexte"/>
                                  <w:rFonts w:cs="Arial"/>
                                  <w:sz w:val="16"/>
                                  <w:lang w:val="en-GB"/>
                                </w:rPr>
                                <w:t>Centres of Excellence</w:t>
                              </w:r>
                            </w:hyperlink>
                            <w:r w:rsidRPr="00C17EB1">
                              <w:rPr>
                                <w:rFonts w:cs="Arial"/>
                                <w:sz w:val="16"/>
                                <w:lang w:val="en-GB"/>
                              </w:rPr>
                              <w:t xml:space="preserve"> in a number of sectors. </w:t>
                            </w:r>
                            <w:r w:rsidRPr="00F35A9F">
                              <w:rPr>
                                <w:rFonts w:cs="Arial"/>
                                <w:sz w:val="16"/>
                                <w:lang w:val="en-GB"/>
                              </w:rPr>
                              <w:t xml:space="preserve">The HUG </w:t>
                            </w:r>
                            <w:proofErr w:type="gramStart"/>
                            <w:r w:rsidRPr="00F35A9F">
                              <w:rPr>
                                <w:rFonts w:cs="Arial"/>
                                <w:sz w:val="16"/>
                                <w:lang w:val="en-GB"/>
                              </w:rPr>
                              <w:t>treat</w:t>
                            </w:r>
                            <w:proofErr w:type="gramEnd"/>
                            <w:r w:rsidRPr="00F35A9F">
                              <w:rPr>
                                <w:rFonts w:cs="Arial"/>
                                <w:sz w:val="16"/>
                                <w:lang w:val="en-GB"/>
                              </w:rPr>
                              <w:t xml:space="preserve"> 2</w:t>
                            </w:r>
                            <w:r>
                              <w:rPr>
                                <w:rFonts w:cs="Arial"/>
                                <w:sz w:val="16"/>
                                <w:lang w:val="en-GB"/>
                              </w:rPr>
                              <w:t>40</w:t>
                            </w:r>
                            <w:r w:rsidRPr="00F35A9F">
                              <w:rPr>
                                <w:rFonts w:cs="Arial"/>
                                <w:sz w:val="16"/>
                                <w:lang w:val="en-GB"/>
                              </w:rPr>
                              <w:t>,000 patients ea</w:t>
                            </w:r>
                            <w:r>
                              <w:rPr>
                                <w:rFonts w:cs="Arial"/>
                                <w:sz w:val="16"/>
                                <w:lang w:val="en-GB"/>
                              </w:rPr>
                              <w:t>ch year, with a capacity of 2,000 hospital beds, and employ 12.788</w:t>
                            </w:r>
                            <w:r w:rsidRPr="00F35A9F">
                              <w:rPr>
                                <w:rFonts w:cs="Arial"/>
                                <w:sz w:val="16"/>
                                <w:lang w:val="en-GB"/>
                              </w:rPr>
                              <w:t xml:space="preserve"> people.</w:t>
                            </w:r>
                          </w:p>
                          <w:p w14:paraId="09579C24" w14:textId="77777777" w:rsidR="00782B93" w:rsidRPr="00C17EB1" w:rsidRDefault="00782B93" w:rsidP="00782B93">
                            <w:pPr>
                              <w:rPr>
                                <w:rFonts w:cs="Arial"/>
                                <w:sz w:val="16"/>
                                <w:lang w:val="en-GB"/>
                              </w:rPr>
                            </w:pPr>
                            <w:r w:rsidRPr="00C17EB1">
                              <w:rPr>
                                <w:rFonts w:cs="Arial"/>
                                <w:sz w:val="16"/>
                                <w:lang w:val="en-GB"/>
                              </w:rPr>
                              <w:t>More information on</w:t>
                            </w:r>
                            <w:r w:rsidRPr="00C17EB1">
                              <w:rPr>
                                <w:rFonts w:cs="Arial"/>
                                <w:b/>
                                <w:sz w:val="16"/>
                                <w:lang w:val="en-GB"/>
                              </w:rPr>
                              <w:t> </w:t>
                            </w:r>
                            <w:hyperlink r:id="rId16" w:history="1">
                              <w:r w:rsidRPr="00C17EB1">
                                <w:rPr>
                                  <w:rStyle w:val="Lienhypertexte"/>
                                  <w:rFonts w:cs="Arial"/>
                                  <w:sz w:val="16"/>
                                  <w:lang w:val="en-GB"/>
                                </w:rPr>
                                <w:t>publications-hug</w:t>
                              </w:r>
                            </w:hyperlink>
                          </w:p>
                          <w:p w14:paraId="5848C5CD" w14:textId="7FD0DE7B" w:rsidR="004D3BB5" w:rsidRPr="00A817B2" w:rsidRDefault="00582189" w:rsidP="004D3BB5">
                            <w:pPr>
                              <w:spacing w:before="120"/>
                              <w:rPr>
                                <w:rStyle w:val="Lienhypertexte"/>
                                <w:rFonts w:cs="Arial"/>
                                <w:sz w:val="16"/>
                              </w:rPr>
                            </w:pPr>
                            <w:hyperlink r:id="rId17" w:history="1">
                              <w:r w:rsidR="00782B93" w:rsidRPr="00C17EB1">
                                <w:rPr>
                                  <w:rStyle w:val="Lienhypertexte"/>
                                  <w:rFonts w:cs="Arial"/>
                                  <w:sz w:val="16"/>
                                </w:rPr>
                                <w:t>www.hug.ch</w:t>
                              </w:r>
                            </w:hyperlink>
                            <w:r w:rsidR="00782B93" w:rsidRPr="00C17EB1">
                              <w:rPr>
                                <w:rFonts w:cs="Arial"/>
                                <w:sz w:val="16"/>
                              </w:rPr>
                              <w:t xml:space="preserve"> – </w:t>
                            </w:r>
                            <w:hyperlink r:id="rId18" w:history="1">
                              <w:r w:rsidR="00782B93" w:rsidRPr="00C17EB1">
                                <w:rPr>
                                  <w:rStyle w:val="Lienhypertexte"/>
                                  <w:rFonts w:cs="Arial"/>
                                  <w:sz w:val="16"/>
                                </w:rPr>
                                <w:t>presse-hug@hcuge.ch</w:t>
                              </w:r>
                            </w:hyperlink>
                          </w:p>
                          <w:p w14:paraId="7AD921E3" w14:textId="77777777" w:rsidR="004D3BB5" w:rsidRPr="00A817B2" w:rsidRDefault="004D3BB5" w:rsidP="004D3BB5">
                            <w:pPr>
                              <w:spacing w:before="120"/>
                              <w:rPr>
                                <w:rFonts w:cs="Arial"/>
                                <w:sz w:val="16"/>
                              </w:rPr>
                            </w:pPr>
                          </w:p>
                          <w:p w14:paraId="76F5E830" w14:textId="77777777" w:rsidR="004D3BB5" w:rsidRPr="00A817B2" w:rsidRDefault="004D3BB5" w:rsidP="004D3BB5">
                            <w:pPr>
                              <w:spacing w:before="120"/>
                              <w:rPr>
                                <w:rFonts w:cs="Arial"/>
                                <w:sz w:val="16"/>
                              </w:rPr>
                            </w:pPr>
                          </w:p>
                          <w:p w14:paraId="52D97AD6" w14:textId="77777777" w:rsidR="004D3BB5" w:rsidRPr="00A817B2" w:rsidRDefault="004D3BB5" w:rsidP="004D3BB5">
                            <w:pPr>
                              <w:rPr>
                                <w:sz w:val="18"/>
                                <w:szCs w:val="18"/>
                              </w:rPr>
                            </w:pPr>
                          </w:p>
                          <w:p w14:paraId="7C4A5841" w14:textId="77777777" w:rsidR="004D3BB5" w:rsidRPr="00A817B2" w:rsidRDefault="004D3BB5" w:rsidP="004D3BB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D7B3C" id="Text Box 9" o:spid="_x0000_s1027" type="#_x0000_t202" style="position:absolute;left:0;text-align:left;margin-left:0;margin-top:1.65pt;width:438.1pt;height:109.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">
                <v:textbox>
                  <w:txbxContent>
                    <w:p w14:paraId="6C6F4007" w14:textId="77777777" w:rsidR="00782B93" w:rsidRPr="00C17EB1" w:rsidRDefault="00782B93" w:rsidP="00782B93">
                      <w:pPr>
                        <w:rPr>
                          <w:rFonts w:cs="Arial"/>
                          <w:b/>
                          <w:sz w:val="16"/>
                          <w:lang w:val="en-GB"/>
                        </w:rPr>
                      </w:pPr>
                      <w:r w:rsidRPr="00C17EB1">
                        <w:rPr>
                          <w:rFonts w:cs="Arial"/>
                          <w:b/>
                          <w:sz w:val="16"/>
                          <w:lang w:val="en-GB"/>
                        </w:rPr>
                        <w:t>The HUG: Care, Teaching, and leading-edge Research</w:t>
                      </w:r>
                    </w:p>
                    <w:p w14:paraId="02F8440F" w14:textId="77777777" w:rsidR="00782B93" w:rsidRPr="00114806" w:rsidRDefault="00782B93" w:rsidP="00782B93">
                      <w:pPr>
                        <w:rPr>
                          <w:rFonts w:cs="Arial"/>
                          <w:sz w:val="18"/>
                          <w:szCs w:val="18"/>
                          <w:lang w:val="en-GB"/>
                        </w:rPr>
                      </w:pPr>
                      <w:r w:rsidRPr="00C17EB1">
                        <w:rPr>
                          <w:rFonts w:cs="Arial"/>
                          <w:sz w:val="16"/>
                          <w:lang w:val="en-GB"/>
                        </w:rPr>
                        <w:t xml:space="preserve">The Geneva University Hospital (HUG) comprises </w:t>
                      </w:r>
                      <w:hyperlink r:id="rId19" w:history="1">
                        <w:r w:rsidRPr="00C17EB1">
                          <w:rPr>
                            <w:rStyle w:val="Lienhypertexte"/>
                            <w:rFonts w:cs="Arial"/>
                            <w:sz w:val="16"/>
                            <w:lang w:val="en-GB"/>
                          </w:rPr>
                          <w:t>eight public hospitals and two clinics</w:t>
                        </w:r>
                      </w:hyperlink>
                      <w:r w:rsidRPr="00C17EB1">
                        <w:rPr>
                          <w:rFonts w:cs="Arial"/>
                          <w:sz w:val="16"/>
                          <w:lang w:val="en-GB"/>
                        </w:rPr>
                        <w:t xml:space="preserve">. Theirs missions are to provide health care to the community in all medical specialties, to help train physicians and health professionals, and to conduct medical and clinical research. The HUG operate as a national reference centre for </w:t>
                      </w:r>
                      <w:hyperlink r:id="rId20" w:history="1">
                        <w:r w:rsidRPr="00C17EB1">
                          <w:rPr>
                            <w:rStyle w:val="Lienhypertexte"/>
                            <w:rFonts w:cs="Arial"/>
                            <w:sz w:val="16"/>
                            <w:lang w:val="en-GB"/>
                          </w:rPr>
                          <w:t>influenza</w:t>
                        </w:r>
                      </w:hyperlink>
                      <w:r w:rsidRPr="00C17EB1">
                        <w:rPr>
                          <w:rFonts w:cs="Arial"/>
                          <w:sz w:val="16"/>
                          <w:lang w:val="en-GB"/>
                        </w:rPr>
                        <w:t xml:space="preserve">, </w:t>
                      </w:r>
                      <w:hyperlink r:id="rId21" w:history="1">
                        <w:r w:rsidRPr="00C17EB1">
                          <w:rPr>
                            <w:rStyle w:val="Lienhypertexte"/>
                            <w:rFonts w:cs="Arial"/>
                            <w:sz w:val="16"/>
                            <w:lang w:val="en-GB"/>
                          </w:rPr>
                          <w:t>emerging viral infections</w:t>
                        </w:r>
                      </w:hyperlink>
                      <w:r w:rsidRPr="00C17EB1">
                        <w:rPr>
                          <w:rFonts w:cs="Arial"/>
                          <w:sz w:val="16"/>
                          <w:lang w:val="en-GB"/>
                        </w:rPr>
                        <w:t xml:space="preserve">, </w:t>
                      </w:r>
                      <w:hyperlink r:id="rId22" w:history="1">
                        <w:r w:rsidRPr="00C17EB1">
                          <w:rPr>
                            <w:rStyle w:val="Lienhypertexte"/>
                            <w:rFonts w:cs="Arial"/>
                            <w:sz w:val="16"/>
                            <w:lang w:val="en-GB"/>
                          </w:rPr>
                          <w:t>meningococcus</w:t>
                        </w:r>
                      </w:hyperlink>
                      <w:r w:rsidRPr="00C17EB1">
                        <w:rPr>
                          <w:rFonts w:cs="Arial"/>
                          <w:sz w:val="16"/>
                          <w:lang w:val="en-GB"/>
                        </w:rPr>
                        <w:t xml:space="preserve">, and transplant immunology, and are the </w:t>
                      </w:r>
                      <w:hyperlink r:id="rId23" w:history="1">
                        <w:r w:rsidRPr="00C17EB1">
                          <w:rPr>
                            <w:rStyle w:val="Lienhypertexte"/>
                            <w:rFonts w:cs="Arial"/>
                            <w:sz w:val="16"/>
                            <w:lang w:val="en-GB"/>
                          </w:rPr>
                          <w:t>national reference laboratory for histocompatibility</w:t>
                        </w:r>
                      </w:hyperlink>
                      <w:r w:rsidRPr="00C17EB1">
                        <w:rPr>
                          <w:rFonts w:cs="Arial"/>
                          <w:sz w:val="16"/>
                          <w:lang w:val="en-GB"/>
                        </w:rPr>
                        <w:t xml:space="preserve">. They are also a WHO Collaborating Centre </w:t>
                      </w:r>
                      <w:hyperlink r:id="rId24" w:history="1">
                        <w:r w:rsidRPr="00C17EB1">
                          <w:rPr>
                            <w:rStyle w:val="Lienhypertexte"/>
                            <w:rFonts w:cs="Arial"/>
                            <w:sz w:val="16"/>
                            <w:lang w:val="en-GB"/>
                          </w:rPr>
                          <w:t>in six areas</w:t>
                        </w:r>
                      </w:hyperlink>
                      <w:r w:rsidRPr="00C17EB1">
                        <w:rPr>
                          <w:rFonts w:cs="Arial"/>
                          <w:sz w:val="16"/>
                          <w:lang w:val="en-GB"/>
                        </w:rPr>
                        <w:t xml:space="preserve">, as well as </w:t>
                      </w:r>
                      <w:hyperlink r:id="rId25" w:history="1">
                        <w:r w:rsidRPr="00C17EB1">
                          <w:rPr>
                            <w:rStyle w:val="Lienhypertexte"/>
                            <w:rFonts w:cs="Arial"/>
                            <w:sz w:val="16"/>
                            <w:lang w:val="en-GB"/>
                          </w:rPr>
                          <w:t>Centres of Excellence</w:t>
                        </w:r>
                      </w:hyperlink>
                      <w:r w:rsidRPr="00C17EB1">
                        <w:rPr>
                          <w:rFonts w:cs="Arial"/>
                          <w:sz w:val="16"/>
                          <w:lang w:val="en-GB"/>
                        </w:rPr>
                        <w:t xml:space="preserve"> in a number of sectors. </w:t>
                      </w:r>
                      <w:r w:rsidRPr="00F35A9F">
                        <w:rPr>
                          <w:rFonts w:cs="Arial"/>
                          <w:sz w:val="16"/>
                          <w:lang w:val="en-GB"/>
                        </w:rPr>
                        <w:t xml:space="preserve">The HUG </w:t>
                      </w:r>
                      <w:proofErr w:type="gramStart"/>
                      <w:r w:rsidRPr="00F35A9F">
                        <w:rPr>
                          <w:rFonts w:cs="Arial"/>
                          <w:sz w:val="16"/>
                          <w:lang w:val="en-GB"/>
                        </w:rPr>
                        <w:t>treat</w:t>
                      </w:r>
                      <w:proofErr w:type="gramEnd"/>
                      <w:r w:rsidRPr="00F35A9F">
                        <w:rPr>
                          <w:rFonts w:cs="Arial"/>
                          <w:sz w:val="16"/>
                          <w:lang w:val="en-GB"/>
                        </w:rPr>
                        <w:t xml:space="preserve"> 2</w:t>
                      </w:r>
                      <w:r>
                        <w:rPr>
                          <w:rFonts w:cs="Arial"/>
                          <w:sz w:val="16"/>
                          <w:lang w:val="en-GB"/>
                        </w:rPr>
                        <w:t>40</w:t>
                      </w:r>
                      <w:r w:rsidRPr="00F35A9F">
                        <w:rPr>
                          <w:rFonts w:cs="Arial"/>
                          <w:sz w:val="16"/>
                          <w:lang w:val="en-GB"/>
                        </w:rPr>
                        <w:t>,000 patients ea</w:t>
                      </w:r>
                      <w:r>
                        <w:rPr>
                          <w:rFonts w:cs="Arial"/>
                          <w:sz w:val="16"/>
                          <w:lang w:val="en-GB"/>
                        </w:rPr>
                        <w:t>ch year, with a capacity of 2,000 hospital beds, and employ 12.788</w:t>
                      </w:r>
                      <w:r w:rsidRPr="00F35A9F">
                        <w:rPr>
                          <w:rFonts w:cs="Arial"/>
                          <w:sz w:val="16"/>
                          <w:lang w:val="en-GB"/>
                        </w:rPr>
                        <w:t xml:space="preserve"> people.</w:t>
                      </w:r>
                    </w:p>
                    <w:p w14:paraId="09579C24" w14:textId="77777777" w:rsidR="00782B93" w:rsidRPr="00C17EB1" w:rsidRDefault="00782B93" w:rsidP="00782B93">
                      <w:pPr>
                        <w:rPr>
                          <w:rFonts w:cs="Arial"/>
                          <w:sz w:val="16"/>
                          <w:lang w:val="en-GB"/>
                        </w:rPr>
                      </w:pPr>
                      <w:r w:rsidRPr="00C17EB1">
                        <w:rPr>
                          <w:rFonts w:cs="Arial"/>
                          <w:sz w:val="16"/>
                          <w:lang w:val="en-GB"/>
                        </w:rPr>
                        <w:t>More information on</w:t>
                      </w:r>
                      <w:r w:rsidRPr="00C17EB1">
                        <w:rPr>
                          <w:rFonts w:cs="Arial"/>
                          <w:b/>
                          <w:sz w:val="16"/>
                          <w:lang w:val="en-GB"/>
                        </w:rPr>
                        <w:t> </w:t>
                      </w:r>
                      <w:hyperlink r:id="rId26" w:history="1">
                        <w:r w:rsidRPr="00C17EB1">
                          <w:rPr>
                            <w:rStyle w:val="Lienhypertexte"/>
                            <w:rFonts w:cs="Arial"/>
                            <w:sz w:val="16"/>
                            <w:lang w:val="en-GB"/>
                          </w:rPr>
                          <w:t>publications-hug</w:t>
                        </w:r>
                      </w:hyperlink>
                    </w:p>
                    <w:p w14:paraId="5848C5CD" w14:textId="7FD0DE7B" w:rsidR="004D3BB5" w:rsidRPr="00A817B2" w:rsidRDefault="00124DCE" w:rsidP="004D3BB5">
                      <w:pPr>
                        <w:spacing w:before="120"/>
                        <w:rPr>
                          <w:rStyle w:val="Lienhypertexte"/>
                          <w:rFonts w:cs="Arial"/>
                          <w:sz w:val="16"/>
                        </w:rPr>
                      </w:pPr>
                      <w:hyperlink r:id="rId27" w:history="1">
                        <w:r w:rsidR="00782B93" w:rsidRPr="00C17EB1">
                          <w:rPr>
                            <w:rStyle w:val="Lienhypertexte"/>
                            <w:rFonts w:cs="Arial"/>
                            <w:sz w:val="16"/>
                          </w:rPr>
                          <w:t>www.hug.ch</w:t>
                        </w:r>
                      </w:hyperlink>
                      <w:r w:rsidR="00782B93" w:rsidRPr="00C17EB1">
                        <w:rPr>
                          <w:rFonts w:cs="Arial"/>
                          <w:sz w:val="16"/>
                        </w:rPr>
                        <w:t xml:space="preserve"> – </w:t>
                      </w:r>
                      <w:hyperlink r:id="rId28" w:history="1">
                        <w:r w:rsidR="00782B93" w:rsidRPr="00C17EB1">
                          <w:rPr>
                            <w:rStyle w:val="Lienhypertexte"/>
                            <w:rFonts w:cs="Arial"/>
                            <w:sz w:val="16"/>
                          </w:rPr>
                          <w:t>presse-hug@hcuge.ch</w:t>
                        </w:r>
                      </w:hyperlink>
                    </w:p>
                    <w:p w14:paraId="7AD921E3" w14:textId="77777777" w:rsidR="004D3BB5" w:rsidRPr="00A817B2" w:rsidRDefault="004D3BB5" w:rsidP="004D3BB5">
                      <w:pPr>
                        <w:spacing w:before="120"/>
                        <w:rPr>
                          <w:rFonts w:cs="Arial"/>
                          <w:sz w:val="16"/>
                        </w:rPr>
                      </w:pPr>
                    </w:p>
                    <w:p w14:paraId="76F5E830" w14:textId="77777777" w:rsidR="004D3BB5" w:rsidRPr="00A817B2" w:rsidRDefault="004D3BB5" w:rsidP="004D3BB5">
                      <w:pPr>
                        <w:spacing w:before="120"/>
                        <w:rPr>
                          <w:rFonts w:cs="Arial"/>
                          <w:sz w:val="16"/>
                        </w:rPr>
                      </w:pPr>
                    </w:p>
                    <w:p w14:paraId="52D97AD6" w14:textId="77777777" w:rsidR="004D3BB5" w:rsidRPr="00A817B2" w:rsidRDefault="004D3BB5" w:rsidP="004D3BB5">
                      <w:pPr>
                        <w:rPr>
                          <w:sz w:val="18"/>
                          <w:szCs w:val="18"/>
                        </w:rPr>
                      </w:pPr>
                    </w:p>
                    <w:p w14:paraId="7C4A5841" w14:textId="77777777" w:rsidR="004D3BB5" w:rsidRPr="00A817B2" w:rsidRDefault="004D3BB5" w:rsidP="004D3BB5">
                      <w:pPr>
                        <w:rPr>
                          <w:sz w:val="18"/>
                          <w:szCs w:val="18"/>
                        </w:rPr>
                      </w:pPr>
                    </w:p>
                  </w:txbxContent>
                </v:textbox>
                <w10:wrap anchorx="margin"/>
              </v:shape>
            </w:pict>
          </mc:Fallback>
        </mc:AlternateContent>
      </w:r>
    </w:p>
    <w:p w14:paraId="1AE1D24C" w14:textId="4BDC51FE" w:rsidR="004D3BB5" w:rsidRDefault="004D3BB5" w:rsidP="004D3BB5"/>
    <w:p w14:paraId="4856668A" w14:textId="5E425876" w:rsidR="003F4055" w:rsidRDefault="00782B93" w:rsidP="004D3BB5">
      <w:pPr>
        <w:spacing w:after="120"/>
        <w:jc w:val="left"/>
      </w:pPr>
      <w:r>
        <w:rPr>
          <w:noProof/>
          <w:lang w:val="en-GB" w:bidi="en-GB"/>
        </w:rPr>
        <mc:AlternateContent>
          <mc:Choice Requires="wps">
            <w:drawing>
              <wp:anchor distT="0" distB="0" distL="114300" distR="114300" simplePos="0" relativeHeight="251664384" behindDoc="0" locked="0" layoutInCell="1" allowOverlap="1" wp14:anchorId="6AAB60FD" wp14:editId="562FF099">
                <wp:simplePos x="0" y="0"/>
                <wp:positionH relativeFrom="margin">
                  <wp:align>left</wp:align>
                </wp:positionH>
                <wp:positionV relativeFrom="paragraph">
                  <wp:posOffset>1223645</wp:posOffset>
                </wp:positionV>
                <wp:extent cx="5563870" cy="1438275"/>
                <wp:effectExtent l="0" t="0" r="1778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438275"/>
                        </a:xfrm>
                        <a:prstGeom prst="rect">
                          <a:avLst/>
                        </a:prstGeom>
                        <a:solidFill>
                          <a:srgbClr val="FFFFFF"/>
                        </a:solidFill>
                        <a:ln w="9525">
                          <a:solidFill>
                            <a:srgbClr val="000000"/>
                          </a:solidFill>
                          <a:miter lim="800000"/>
                          <a:headEnd/>
                          <a:tailEnd/>
                        </a:ln>
                      </wps:spPr>
                      <wps:txbx>
                        <w:txbxContent>
                          <w:p w14:paraId="6CCA6165" w14:textId="77777777" w:rsidR="00782B93" w:rsidRDefault="00782B93" w:rsidP="00782B93">
                            <w:pPr>
                              <w:rPr>
                                <w:rFonts w:cs="Arial"/>
                                <w:b/>
                                <w:sz w:val="16"/>
                                <w:szCs w:val="16"/>
                                <w:lang w:val="en-GB"/>
                              </w:rPr>
                            </w:pPr>
                            <w:r w:rsidRPr="00AB1D07">
                              <w:rPr>
                                <w:rFonts w:cs="Arial"/>
                                <w:b/>
                                <w:sz w:val="16"/>
                                <w:szCs w:val="16"/>
                                <w:lang w:val="en-GB"/>
                              </w:rPr>
                              <w:t>About the University of Geneva</w:t>
                            </w:r>
                          </w:p>
                          <w:p w14:paraId="2EEACBA4" w14:textId="4AE92201" w:rsidR="00782B93" w:rsidRDefault="00782B93" w:rsidP="00782B93">
                            <w:pPr>
                              <w:rPr>
                                <w:rFonts w:cs="Arial"/>
                                <w:sz w:val="16"/>
                                <w:szCs w:val="16"/>
                                <w:lang w:val="en-GB"/>
                              </w:rPr>
                            </w:pPr>
                            <w:r w:rsidRPr="00AB1D07">
                              <w:rPr>
                                <w:rFonts w:cs="Arial"/>
                                <w:sz w:val="16"/>
                                <w:szCs w:val="16"/>
                                <w:lang w:val="en-GB"/>
                              </w:rPr>
                              <w:t xml:space="preserve">The University of Geneva, Switzerland, was founded in 1559 by Jean Calvin and Théodore de </w:t>
                            </w:r>
                            <w:proofErr w:type="spellStart"/>
                            <w:r w:rsidRPr="00AB1D07">
                              <w:rPr>
                                <w:rFonts w:cs="Arial"/>
                                <w:sz w:val="16"/>
                                <w:szCs w:val="16"/>
                                <w:lang w:val="en-GB"/>
                              </w:rPr>
                              <w:t>Bèze</w:t>
                            </w:r>
                            <w:proofErr w:type="spellEnd"/>
                            <w:r w:rsidRPr="00AB1D07">
                              <w:rPr>
                                <w:rFonts w:cs="Arial"/>
                                <w:sz w:val="16"/>
                                <w:szCs w:val="16"/>
                                <w:lang w:val="en-GB"/>
                              </w:rPr>
                              <w:t xml:space="preserve"> and ranks amongst the top 100 best universities in the world. It enjoys worldwide recognition and develops an ever-strengthening international network. The University of Geneva welcomes about 19’000 students in its nine faculties teaching Sciences, Medicine, Humanities, Economics and Management, Social Sciences, Law, Theology, Psychology and Educational Sciences, as well as Translation and Interpreting. The University of Geneva fulfils three missions: education, </w:t>
                            </w:r>
                            <w:proofErr w:type="gramStart"/>
                            <w:r w:rsidRPr="00AB1D07">
                              <w:rPr>
                                <w:rFonts w:cs="Arial"/>
                                <w:sz w:val="16"/>
                                <w:szCs w:val="16"/>
                                <w:lang w:val="en-GB"/>
                              </w:rPr>
                              <w:t>research</w:t>
                            </w:r>
                            <w:proofErr w:type="gramEnd"/>
                            <w:r w:rsidRPr="00AB1D07">
                              <w:rPr>
                                <w:rFonts w:cs="Arial"/>
                                <w:sz w:val="16"/>
                                <w:szCs w:val="16"/>
                                <w:lang w:val="en-GB"/>
                              </w:rPr>
                              <w:t xml:space="preserve"> and knowledge-sharing. It is a member of the League of European Research Universities since 2002 and is a founding partner of Campus Biotech, the life science hub for the Geneva Lake region.</w:t>
                            </w:r>
                          </w:p>
                          <w:p w14:paraId="1AD27135" w14:textId="77777777" w:rsidR="00782B93" w:rsidRPr="00114806" w:rsidRDefault="00782B93" w:rsidP="00782B93">
                            <w:pPr>
                              <w:rPr>
                                <w:rFonts w:cs="Arial"/>
                                <w:sz w:val="18"/>
                                <w:szCs w:val="18"/>
                                <w:lang w:val="en-GB"/>
                              </w:rPr>
                            </w:pPr>
                          </w:p>
                          <w:p w14:paraId="00931186" w14:textId="77777777" w:rsidR="00782B93" w:rsidRPr="00AB1D07" w:rsidRDefault="00582189" w:rsidP="00782B93">
                            <w:pPr>
                              <w:rPr>
                                <w:rFonts w:cs="Arial"/>
                                <w:b/>
                                <w:sz w:val="16"/>
                                <w:szCs w:val="16"/>
                                <w:lang w:val="en-GB"/>
                              </w:rPr>
                            </w:pPr>
                            <w:hyperlink r:id="rId29" w:history="1">
                              <w:r w:rsidR="00782B93" w:rsidRPr="00AB1D07">
                                <w:rPr>
                                  <w:rStyle w:val="Lienhypertexte"/>
                                  <w:rFonts w:cs="Arial"/>
                                  <w:sz w:val="16"/>
                                  <w:szCs w:val="16"/>
                                  <w:lang w:val="en-GB"/>
                                </w:rPr>
                                <w:t>www.unige.ch</w:t>
                              </w:r>
                            </w:hyperlink>
                          </w:p>
                          <w:p w14:paraId="35780960" w14:textId="680E3AA5" w:rsidR="00782B93" w:rsidRDefault="00782B93" w:rsidP="004D3BB5">
                            <w:pPr>
                              <w:rPr>
                                <w:sz w:val="16"/>
                                <w:lang w:val="en-GB" w:bidi="en-GB"/>
                              </w:rPr>
                            </w:pPr>
                          </w:p>
                          <w:p w14:paraId="04ECA795" w14:textId="77777777" w:rsidR="00782B93" w:rsidRPr="00A817B2" w:rsidRDefault="00782B93" w:rsidP="004D3BB5">
                            <w:pPr>
                              <w:rPr>
                                <w:rFonts w:cs="Arial"/>
                                <w:sz w:val="16"/>
                              </w:rPr>
                            </w:pPr>
                          </w:p>
                          <w:p w14:paraId="15B9DFF0" w14:textId="77777777" w:rsidR="004D3BB5" w:rsidRPr="00A817B2" w:rsidRDefault="004D3BB5" w:rsidP="004D3BB5">
                            <w:pPr>
                              <w:rPr>
                                <w:rFonts w:cs="Arial"/>
                                <w:sz w:val="16"/>
                              </w:rPr>
                            </w:pPr>
                          </w:p>
                          <w:p w14:paraId="16D0C27F" w14:textId="77777777" w:rsidR="004D3BB5" w:rsidRPr="00A228A5" w:rsidRDefault="004D3BB5" w:rsidP="004D3BB5">
                            <w:pPr>
                              <w:rPr>
                                <w:rFonts w:cs="Arial"/>
                                <w:sz w:val="16"/>
                                <w:lang w:val="fr-FR"/>
                              </w:rPr>
                            </w:pPr>
                            <w:r w:rsidRPr="00137193">
                              <w:rPr>
                                <w:sz w:val="16"/>
                                <w:lang w:val="en-GB" w:bidi="en-GB"/>
                              </w:rPr>
                              <w:t xml:space="preserve">The UNIGE pursues three missions: teaching, </w:t>
                            </w:r>
                            <w:proofErr w:type="gramStart"/>
                            <w:r w:rsidRPr="00137193">
                              <w:rPr>
                                <w:sz w:val="16"/>
                                <w:lang w:val="en-GB" w:bidi="en-GB"/>
                              </w:rPr>
                              <w:t>research</w:t>
                            </w:r>
                            <w:proofErr w:type="gramEnd"/>
                            <w:r w:rsidRPr="00137193">
                              <w:rPr>
                                <w:sz w:val="16"/>
                                <w:lang w:val="en-GB" w:bidi="en-GB"/>
                              </w:rPr>
                              <w:t xml:space="preserve"> and service to the city. </w:t>
                            </w:r>
                            <w:hyperlink r:id="rId30" w:history="1">
                              <w:r w:rsidRPr="0034473B">
                                <w:rPr>
                                  <w:rStyle w:val="Lienhypertexte"/>
                                  <w:sz w:val="16"/>
                                  <w:lang w:val="en-GB" w:bidi="en-GB"/>
                                </w:rPr>
                                <w:t>www.unige.ch</w:t>
                              </w:r>
                            </w:hyperlink>
                            <w:r w:rsidRPr="00137193">
                              <w:rPr>
                                <w:sz w:val="16"/>
                                <w:lang w:val="en-GB" w:bidi="en-GB"/>
                              </w:rPr>
                              <w:t xml:space="preserve"> </w:t>
                            </w:r>
                          </w:p>
                          <w:p w14:paraId="61C2407A" w14:textId="77777777" w:rsidR="004D3BB5" w:rsidRDefault="004D3BB5" w:rsidP="004D3BB5">
                            <w:pPr>
                              <w:spacing w:before="120"/>
                              <w:rPr>
                                <w:rFonts w:cs="Arial"/>
                                <w:sz w:val="16"/>
                                <w:lang w:val="fr-CH"/>
                              </w:rPr>
                            </w:pPr>
                          </w:p>
                          <w:p w14:paraId="743066F4" w14:textId="77777777" w:rsidR="004D3BB5" w:rsidRPr="00DD7C7A" w:rsidRDefault="004D3BB5" w:rsidP="004D3BB5">
                            <w:pPr>
                              <w:spacing w:before="120"/>
                              <w:rPr>
                                <w:rFonts w:cs="Arial"/>
                                <w:sz w:val="16"/>
                                <w:lang w:val="fr-CH"/>
                              </w:rPr>
                            </w:pPr>
                          </w:p>
                          <w:p w14:paraId="7FEA8849" w14:textId="77777777" w:rsidR="004D3BB5" w:rsidRPr="00A60199" w:rsidRDefault="004D3BB5" w:rsidP="004D3BB5">
                            <w:pPr>
                              <w:rPr>
                                <w:sz w:val="18"/>
                                <w:szCs w:val="18"/>
                                <w:lang w:val="fr-CH"/>
                              </w:rPr>
                            </w:pPr>
                          </w:p>
                          <w:p w14:paraId="637B5D37" w14:textId="77777777" w:rsidR="004D3BB5" w:rsidRPr="00914CC6" w:rsidRDefault="004D3BB5" w:rsidP="004D3BB5">
                            <w:pPr>
                              <w:rPr>
                                <w:sz w:val="18"/>
                                <w:szCs w:val="18"/>
                                <w:lang w:val="fr-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60FD" id="_x0000_s1028" type="#_x0000_t202" style="position:absolute;margin-left:0;margin-top:96.35pt;width:438.1pt;height:113.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">
                <v:textbox>
                  <w:txbxContent>
                    <w:p w14:paraId="6CCA6165" w14:textId="77777777" w:rsidR="00782B93" w:rsidRDefault="00782B93" w:rsidP="00782B93">
                      <w:pPr>
                        <w:rPr>
                          <w:rFonts w:cs="Arial"/>
                          <w:b/>
                          <w:sz w:val="16"/>
                          <w:szCs w:val="16"/>
                          <w:lang w:val="en-GB"/>
                        </w:rPr>
                      </w:pPr>
                      <w:r w:rsidRPr="00AB1D07">
                        <w:rPr>
                          <w:rFonts w:cs="Arial"/>
                          <w:b/>
                          <w:sz w:val="16"/>
                          <w:szCs w:val="16"/>
                          <w:lang w:val="en-GB"/>
                        </w:rPr>
                        <w:t>About the University of Geneva</w:t>
                      </w:r>
                    </w:p>
                    <w:p w14:paraId="2EEACBA4" w14:textId="4AE92201" w:rsidR="00782B93" w:rsidRDefault="00782B93" w:rsidP="00782B93">
                      <w:pPr>
                        <w:rPr>
                          <w:rFonts w:cs="Arial"/>
                          <w:sz w:val="16"/>
                          <w:szCs w:val="16"/>
                          <w:lang w:val="en-GB"/>
                        </w:rPr>
                      </w:pPr>
                      <w:r w:rsidRPr="00AB1D07">
                        <w:rPr>
                          <w:rFonts w:cs="Arial"/>
                          <w:sz w:val="16"/>
                          <w:szCs w:val="16"/>
                          <w:lang w:val="en-GB"/>
                        </w:rPr>
                        <w:t xml:space="preserve">The University of Geneva, Switzerland, was founded in 1559 by Jean Calvin and Théodore de </w:t>
                      </w:r>
                      <w:proofErr w:type="spellStart"/>
                      <w:r w:rsidRPr="00AB1D07">
                        <w:rPr>
                          <w:rFonts w:cs="Arial"/>
                          <w:sz w:val="16"/>
                          <w:szCs w:val="16"/>
                          <w:lang w:val="en-GB"/>
                        </w:rPr>
                        <w:t>Bèze</w:t>
                      </w:r>
                      <w:proofErr w:type="spellEnd"/>
                      <w:r w:rsidRPr="00AB1D07">
                        <w:rPr>
                          <w:rFonts w:cs="Arial"/>
                          <w:sz w:val="16"/>
                          <w:szCs w:val="16"/>
                          <w:lang w:val="en-GB"/>
                        </w:rPr>
                        <w:t xml:space="preserve"> and ranks amongst the top 100 best universities in the world. It enjoys worldwide recognition and develops an ever-strengthening international network. The University of Geneva welcomes about 19’000 students in its nine faculties teaching Sciences, Medicine, Humanities, Economics and Management, Social Sciences, Law, Theology, Psychology and Educational Sciences, as well as Translation and Interpreting. The University of Geneva fulfils three missions: education, </w:t>
                      </w:r>
                      <w:proofErr w:type="gramStart"/>
                      <w:r w:rsidRPr="00AB1D07">
                        <w:rPr>
                          <w:rFonts w:cs="Arial"/>
                          <w:sz w:val="16"/>
                          <w:szCs w:val="16"/>
                          <w:lang w:val="en-GB"/>
                        </w:rPr>
                        <w:t>research</w:t>
                      </w:r>
                      <w:proofErr w:type="gramEnd"/>
                      <w:r w:rsidRPr="00AB1D07">
                        <w:rPr>
                          <w:rFonts w:cs="Arial"/>
                          <w:sz w:val="16"/>
                          <w:szCs w:val="16"/>
                          <w:lang w:val="en-GB"/>
                        </w:rPr>
                        <w:t xml:space="preserve"> and knowledge-sharing. It is a member of the League of European Research Universities since 2002 and is a founding partner of Campus Biotech, the life science hub for the Geneva Lake region.</w:t>
                      </w:r>
                    </w:p>
                    <w:p w14:paraId="1AD27135" w14:textId="77777777" w:rsidR="00782B93" w:rsidRPr="00114806" w:rsidRDefault="00782B93" w:rsidP="00782B93">
                      <w:pPr>
                        <w:rPr>
                          <w:rFonts w:cs="Arial"/>
                          <w:sz w:val="18"/>
                          <w:szCs w:val="18"/>
                          <w:lang w:val="en-GB"/>
                        </w:rPr>
                      </w:pPr>
                    </w:p>
                    <w:p w14:paraId="00931186" w14:textId="77777777" w:rsidR="00782B93" w:rsidRPr="00AB1D07" w:rsidRDefault="00124DCE" w:rsidP="00782B93">
                      <w:pPr>
                        <w:rPr>
                          <w:rFonts w:cs="Arial"/>
                          <w:b/>
                          <w:sz w:val="16"/>
                          <w:szCs w:val="16"/>
                          <w:lang w:val="en-GB"/>
                        </w:rPr>
                      </w:pPr>
                      <w:hyperlink r:id="rId31" w:history="1">
                        <w:r w:rsidR="00782B93" w:rsidRPr="00AB1D07">
                          <w:rPr>
                            <w:rStyle w:val="Lienhypertexte"/>
                            <w:rFonts w:cs="Arial"/>
                            <w:sz w:val="16"/>
                            <w:szCs w:val="16"/>
                            <w:lang w:val="en-GB"/>
                          </w:rPr>
                          <w:t>www.unige.ch</w:t>
                        </w:r>
                      </w:hyperlink>
                    </w:p>
                    <w:p w14:paraId="35780960" w14:textId="680E3AA5" w:rsidR="00782B93" w:rsidRDefault="00782B93" w:rsidP="004D3BB5">
                      <w:pPr>
                        <w:rPr>
                          <w:sz w:val="16"/>
                          <w:lang w:val="en-GB" w:bidi="en-GB"/>
                        </w:rPr>
                      </w:pPr>
                    </w:p>
                    <w:p w14:paraId="04ECA795" w14:textId="77777777" w:rsidR="00782B93" w:rsidRPr="00A817B2" w:rsidRDefault="00782B93" w:rsidP="004D3BB5">
                      <w:pPr>
                        <w:rPr>
                          <w:rFonts w:cs="Arial"/>
                          <w:sz w:val="16"/>
                        </w:rPr>
                      </w:pPr>
                    </w:p>
                    <w:p w14:paraId="15B9DFF0" w14:textId="77777777" w:rsidR="004D3BB5" w:rsidRPr="00A817B2" w:rsidRDefault="004D3BB5" w:rsidP="004D3BB5">
                      <w:pPr>
                        <w:rPr>
                          <w:rFonts w:cs="Arial"/>
                          <w:sz w:val="16"/>
                        </w:rPr>
                      </w:pPr>
                    </w:p>
                    <w:p w14:paraId="16D0C27F" w14:textId="77777777" w:rsidR="004D3BB5" w:rsidRPr="00A228A5" w:rsidRDefault="004D3BB5" w:rsidP="004D3BB5">
                      <w:pPr>
                        <w:rPr>
                          <w:rFonts w:cs="Arial"/>
                          <w:sz w:val="16"/>
                          <w:lang w:val="fr-FR"/>
                        </w:rPr>
                      </w:pPr>
                      <w:r w:rsidRPr="00137193">
                        <w:rPr>
                          <w:sz w:val="16"/>
                          <w:lang w:val="en-GB" w:bidi="en-GB"/>
                        </w:rPr>
                        <w:t xml:space="preserve">The UNIGE pursues three missions: teaching, </w:t>
                      </w:r>
                      <w:proofErr w:type="gramStart"/>
                      <w:r w:rsidRPr="00137193">
                        <w:rPr>
                          <w:sz w:val="16"/>
                          <w:lang w:val="en-GB" w:bidi="en-GB"/>
                        </w:rPr>
                        <w:t>research</w:t>
                      </w:r>
                      <w:proofErr w:type="gramEnd"/>
                      <w:r w:rsidRPr="00137193">
                        <w:rPr>
                          <w:sz w:val="16"/>
                          <w:lang w:val="en-GB" w:bidi="en-GB"/>
                        </w:rPr>
                        <w:t xml:space="preserve"> and service to the city. </w:t>
                      </w:r>
                      <w:hyperlink r:id="rId32" w:history="1">
                        <w:r w:rsidRPr="0034473B">
                          <w:rPr>
                            <w:rStyle w:val="Lienhypertexte"/>
                            <w:sz w:val="16"/>
                            <w:lang w:val="en-GB" w:bidi="en-GB"/>
                          </w:rPr>
                          <w:t>www.unige.ch</w:t>
                        </w:r>
                      </w:hyperlink>
                      <w:r w:rsidRPr="00137193">
                        <w:rPr>
                          <w:sz w:val="16"/>
                          <w:lang w:val="en-GB" w:bidi="en-GB"/>
                        </w:rPr>
                        <w:t xml:space="preserve"> </w:t>
                      </w:r>
                    </w:p>
                    <w:p w14:paraId="61C2407A" w14:textId="77777777" w:rsidR="004D3BB5" w:rsidRDefault="004D3BB5" w:rsidP="004D3BB5">
                      <w:pPr>
                        <w:spacing w:before="120"/>
                        <w:rPr>
                          <w:rFonts w:cs="Arial"/>
                          <w:sz w:val="16"/>
                          <w:lang w:val="fr-CH"/>
                        </w:rPr>
                      </w:pPr>
                    </w:p>
                    <w:p w14:paraId="743066F4" w14:textId="77777777" w:rsidR="004D3BB5" w:rsidRPr="00DD7C7A" w:rsidRDefault="004D3BB5" w:rsidP="004D3BB5">
                      <w:pPr>
                        <w:spacing w:before="120"/>
                        <w:rPr>
                          <w:rFonts w:cs="Arial"/>
                          <w:sz w:val="16"/>
                          <w:lang w:val="fr-CH"/>
                        </w:rPr>
                      </w:pPr>
                    </w:p>
                    <w:p w14:paraId="7FEA8849" w14:textId="77777777" w:rsidR="004D3BB5" w:rsidRPr="00A60199" w:rsidRDefault="004D3BB5" w:rsidP="004D3BB5">
                      <w:pPr>
                        <w:rPr>
                          <w:sz w:val="18"/>
                          <w:szCs w:val="18"/>
                          <w:lang w:val="fr-CH"/>
                        </w:rPr>
                      </w:pPr>
                    </w:p>
                    <w:p w14:paraId="637B5D37" w14:textId="77777777" w:rsidR="004D3BB5" w:rsidRPr="00914CC6" w:rsidRDefault="004D3BB5" w:rsidP="004D3BB5">
                      <w:pPr>
                        <w:rPr>
                          <w:sz w:val="18"/>
                          <w:szCs w:val="18"/>
                          <w:lang w:val="fr-CH"/>
                        </w:rPr>
                      </w:pPr>
                    </w:p>
                  </w:txbxContent>
                </v:textbox>
                <w10:wrap anchorx="margin"/>
              </v:shape>
            </w:pict>
          </mc:Fallback>
        </mc:AlternateContent>
      </w:r>
    </w:p>
    <w:sectPr w:rsidR="003F4055">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D399" w14:textId="77777777" w:rsidR="005E4BDA" w:rsidRDefault="005E4BDA" w:rsidP="003F4055">
      <w:r>
        <w:separator/>
      </w:r>
    </w:p>
  </w:endnote>
  <w:endnote w:type="continuationSeparator" w:id="0">
    <w:p w14:paraId="3A973622" w14:textId="77777777" w:rsidR="005E4BDA" w:rsidRDefault="005E4BDA" w:rsidP="003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F6CD" w14:textId="77777777" w:rsidR="005F4903" w:rsidRDefault="005F49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6DC6" w14:textId="77777777" w:rsidR="001B0416" w:rsidRDefault="001B0416" w:rsidP="00BE1FA8">
    <w:pPr>
      <w:pStyle w:val="Pieddepage"/>
      <w:jc w:val="center"/>
    </w:pPr>
  </w:p>
  <w:p w14:paraId="64AB2044" w14:textId="77777777" w:rsidR="001B0416" w:rsidRDefault="001B04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D001" w14:textId="77777777" w:rsidR="005F4903" w:rsidRDefault="005F49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F2D0" w14:textId="77777777" w:rsidR="005E4BDA" w:rsidRDefault="005E4BDA" w:rsidP="003F4055">
      <w:r>
        <w:separator/>
      </w:r>
    </w:p>
  </w:footnote>
  <w:footnote w:type="continuationSeparator" w:id="0">
    <w:p w14:paraId="5788F0CD" w14:textId="77777777" w:rsidR="005E4BDA" w:rsidRDefault="005E4BDA" w:rsidP="003F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646A" w14:textId="77777777" w:rsidR="005F4903" w:rsidRDefault="005F49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C5A2" w14:textId="2E814CFC" w:rsidR="003F4055" w:rsidRDefault="005F4903">
    <w:pPr>
      <w:pStyle w:val="En-tte"/>
    </w:pPr>
    <w:r>
      <w:rPr>
        <w:noProof/>
      </w:rPr>
      <w:drawing>
        <wp:anchor distT="0" distB="0" distL="114300" distR="114300" simplePos="0" relativeHeight="251662336" behindDoc="1" locked="0" layoutInCell="1" allowOverlap="1" wp14:anchorId="3EA27038" wp14:editId="6B46900E">
          <wp:simplePos x="0" y="0"/>
          <wp:positionH relativeFrom="margin">
            <wp:posOffset>4109389</wp:posOffset>
          </wp:positionH>
          <wp:positionV relativeFrom="paragraph">
            <wp:posOffset>-287020</wp:posOffset>
          </wp:positionV>
          <wp:extent cx="1772920" cy="643890"/>
          <wp:effectExtent l="0" t="0" r="0" b="381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55" w:rsidRPr="009D725A">
      <w:rPr>
        <w:noProof/>
        <w:lang w:val="fr-CH" w:eastAsia="fr-CH"/>
      </w:rPr>
      <w:drawing>
        <wp:anchor distT="0" distB="0" distL="114300" distR="114300" simplePos="0" relativeHeight="251659264" behindDoc="1" locked="0" layoutInCell="1" allowOverlap="1" wp14:anchorId="57E40181" wp14:editId="611A83E8">
          <wp:simplePos x="0" y="0"/>
          <wp:positionH relativeFrom="page">
            <wp:align>right</wp:align>
          </wp:positionH>
          <wp:positionV relativeFrom="paragraph">
            <wp:posOffset>-622046</wp:posOffset>
          </wp:positionV>
          <wp:extent cx="7551019" cy="10693667"/>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_EN-TÊTE_A4.pdf"/>
                  <pic:cNvPicPr/>
                </pic:nvPicPr>
                <pic:blipFill>
                  <a:blip r:embed="rId2">
                    <a:extLst>
                      <a:ext uri="{28A0092B-C50C-407E-A947-70E740481C1C}">
                        <a14:useLocalDpi xmlns:a14="http://schemas.microsoft.com/office/drawing/2010/main" val="0"/>
                      </a:ext>
                    </a:extLst>
                  </a:blip>
                  <a:stretch>
                    <a:fillRect/>
                  </a:stretch>
                </pic:blipFill>
                <pic:spPr>
                  <a:xfrm>
                    <a:off x="0" y="0"/>
                    <a:ext cx="7551019" cy="10693667"/>
                  </a:xfrm>
                  <a:prstGeom prst="rect">
                    <a:avLst/>
                  </a:prstGeom>
                </pic:spPr>
              </pic:pic>
            </a:graphicData>
          </a:graphic>
        </wp:anchor>
      </w:drawing>
    </w:r>
    <w:r w:rsidR="003F4055">
      <w:tab/>
    </w:r>
    <w:r w:rsidR="003F4055">
      <w:tab/>
    </w:r>
  </w:p>
  <w:p w14:paraId="4B58A374" w14:textId="77777777" w:rsidR="003F4055" w:rsidRDefault="003F4055">
    <w:pPr>
      <w:pStyle w:val="En-tte"/>
    </w:pPr>
    <w:r>
      <w:tab/>
    </w:r>
  </w:p>
  <w:p w14:paraId="22837D8C" w14:textId="77777777" w:rsidR="003F4055" w:rsidRDefault="003F4055">
    <w:pPr>
      <w:pStyle w:val="En-tte"/>
    </w:pPr>
    <w:r>
      <w:tab/>
    </w:r>
  </w:p>
  <w:p w14:paraId="2974269F" w14:textId="77777777" w:rsidR="003F4055" w:rsidRDefault="003F4055">
    <w:pPr>
      <w:pStyle w:val="En-tte"/>
    </w:pPr>
    <w:r>
      <w:tab/>
    </w:r>
    <w:r>
      <w:rPr>
        <w:noProof/>
        <w:lang w:val="fr-CH" w:eastAsia="fr-CH"/>
      </w:rPr>
      <mc:AlternateContent>
        <mc:Choice Requires="wps">
          <w:drawing>
            <wp:anchor distT="0" distB="0" distL="114300" distR="114300" simplePos="0" relativeHeight="251661312" behindDoc="0" locked="1" layoutInCell="1" allowOverlap="1" wp14:anchorId="51435783" wp14:editId="1F811C93">
              <wp:simplePos x="0" y="0"/>
              <wp:positionH relativeFrom="column">
                <wp:posOffset>-390525</wp:posOffset>
              </wp:positionH>
              <wp:positionV relativeFrom="page">
                <wp:posOffset>1068070</wp:posOffset>
              </wp:positionV>
              <wp:extent cx="2514600" cy="571500"/>
              <wp:effectExtent l="0" t="0" r="0" b="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5715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BB10AD5" w14:textId="77777777" w:rsidR="003F4055" w:rsidRPr="00554630" w:rsidRDefault="003F4055" w:rsidP="003F4055">
                          <w:pPr>
                            <w:widowControl w:val="0"/>
                            <w:tabs>
                              <w:tab w:val="left" w:pos="200"/>
                            </w:tabs>
                            <w:autoSpaceDE w:val="0"/>
                            <w:autoSpaceDN w:val="0"/>
                            <w:adjustRightInd w:val="0"/>
                            <w:spacing w:line="288" w:lineRule="auto"/>
                            <w:ind w:left="-142"/>
                            <w:jc w:val="left"/>
                            <w:textAlignment w:val="center"/>
                            <w:rPr>
                              <w:rFonts w:eastAsiaTheme="minorEastAsia" w:cs="Arial"/>
                              <w:color w:val="595959" w:themeColor="text1" w:themeTint="A6"/>
                              <w:sz w:val="14"/>
                              <w:szCs w:val="14"/>
                              <w:lang w:val="fr-FR" w:eastAsia="fr-FR"/>
                            </w:rPr>
                          </w:pPr>
                          <w:r w:rsidRPr="00554630">
                            <w:rPr>
                              <w:rFonts w:eastAsiaTheme="minorEastAsia" w:cs="Arial"/>
                              <w:color w:val="595959" w:themeColor="text1" w:themeTint="A6"/>
                              <w:sz w:val="14"/>
                              <w:szCs w:val="14"/>
                              <w:lang w:val="fr-FR" w:eastAsia="fr-FR"/>
                            </w:rPr>
                            <w:t xml:space="preserve">Rue Gabrielle-Perret-Gentil 4 </w:t>
                          </w:r>
                        </w:p>
                        <w:p w14:paraId="21F9529D" w14:textId="77777777" w:rsidR="003F4055" w:rsidRPr="000411ED" w:rsidRDefault="003F4055" w:rsidP="003F4055">
                          <w:pPr>
                            <w:ind w:left="-142"/>
                            <w:rPr>
                              <w:rFonts w:cs="Arial"/>
                              <w:color w:val="595959" w:themeColor="text1" w:themeTint="A6"/>
                              <w:lang w:val="fr-CH"/>
                            </w:rPr>
                          </w:pPr>
                          <w:r w:rsidRPr="00554630">
                            <w:rPr>
                              <w:rFonts w:eastAsiaTheme="minorEastAsia" w:cs="Arial"/>
                              <w:color w:val="595959" w:themeColor="text1" w:themeTint="A6"/>
                              <w:sz w:val="14"/>
                              <w:szCs w:val="14"/>
                              <w:lang w:val="fr-FR" w:eastAsia="fr-FR"/>
                            </w:rPr>
                            <w:t>CH – 1211 Genève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35783" id="_x0000_t202" coordsize="21600,21600" o:spt="202" path="m,l,21600r21600,l21600,xe">
              <v:stroke joinstyle="miter"/>
              <v:path gradientshapeok="t" o:connecttype="rect"/>
            </v:shapetype>
            <v:shape id="Zone de texte 25" o:spid="_x0000_s1029" type="#_x0000_t202" style="position:absolute;left:0;text-align:left;margin-left:-30.75pt;margin-top:84.1pt;width:19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" filled="f" stroked="f">
              <v:textbox>
                <w:txbxContent>
                  <w:p w14:paraId="0BB10AD5" w14:textId="77777777" w:rsidR="003F4055" w:rsidRPr="00554630" w:rsidRDefault="003F4055" w:rsidP="003F4055">
                    <w:pPr>
                      <w:widowControl w:val="0"/>
                      <w:tabs>
                        <w:tab w:val="left" w:pos="200"/>
                      </w:tabs>
                      <w:autoSpaceDE w:val="0"/>
                      <w:autoSpaceDN w:val="0"/>
                      <w:adjustRightInd w:val="0"/>
                      <w:spacing w:line="288" w:lineRule="auto"/>
                      <w:ind w:left="-142"/>
                      <w:jc w:val="left"/>
                      <w:textAlignment w:val="center"/>
                      <w:rPr>
                        <w:rFonts w:eastAsiaTheme="minorEastAsia" w:cs="Arial"/>
                        <w:color w:val="595959" w:themeColor="text1" w:themeTint="A6"/>
                        <w:sz w:val="14"/>
                        <w:szCs w:val="14"/>
                        <w:lang w:val="fr-FR" w:eastAsia="fr-FR"/>
                      </w:rPr>
                    </w:pPr>
                    <w:r w:rsidRPr="00554630">
                      <w:rPr>
                        <w:rFonts w:eastAsiaTheme="minorEastAsia" w:cs="Arial"/>
                        <w:color w:val="595959" w:themeColor="text1" w:themeTint="A6"/>
                        <w:sz w:val="14"/>
                        <w:szCs w:val="14"/>
                        <w:lang w:val="fr-FR" w:eastAsia="fr-FR"/>
                      </w:rPr>
                      <w:t xml:space="preserve">Rue Gabrielle-Perret-Gentil 4 </w:t>
                    </w:r>
                  </w:p>
                  <w:p w14:paraId="21F9529D" w14:textId="77777777" w:rsidR="003F4055" w:rsidRPr="000411ED" w:rsidRDefault="003F4055" w:rsidP="003F4055">
                    <w:pPr>
                      <w:ind w:left="-142"/>
                      <w:rPr>
                        <w:rFonts w:cs="Arial"/>
                        <w:color w:val="595959" w:themeColor="text1" w:themeTint="A6"/>
                        <w:lang w:val="fr-CH"/>
                      </w:rPr>
                    </w:pPr>
                    <w:r w:rsidRPr="00554630">
                      <w:rPr>
                        <w:rFonts w:eastAsiaTheme="minorEastAsia" w:cs="Arial"/>
                        <w:color w:val="595959" w:themeColor="text1" w:themeTint="A6"/>
                        <w:sz w:val="14"/>
                        <w:szCs w:val="14"/>
                        <w:lang w:val="fr-FR" w:eastAsia="fr-FR"/>
                      </w:rPr>
                      <w:t>CH – 1211 Genève 14</w:t>
                    </w:r>
                  </w:p>
                </w:txbxContent>
              </v:textbox>
              <w10:wrap type="square" anchory="page"/>
              <w10:anchorlock/>
            </v:shape>
          </w:pict>
        </mc:Fallback>
      </mc:AlternateContent>
    </w:r>
    <w:r>
      <w:tab/>
    </w:r>
  </w:p>
  <w:p w14:paraId="67FA7588" w14:textId="77777777" w:rsidR="003F4055" w:rsidRDefault="003F4055" w:rsidP="003F4055">
    <w:pPr>
      <w:pStyle w:val="En-tte"/>
      <w:tabs>
        <w:tab w:val="clear" w:pos="4536"/>
        <w:tab w:val="clear" w:pos="9072"/>
        <w:tab w:val="left" w:pos="5220"/>
      </w:tabs>
    </w:pPr>
    <w:r>
      <w:tab/>
    </w:r>
    <w:r>
      <w:tab/>
    </w:r>
  </w:p>
  <w:p w14:paraId="0E7BBF19" w14:textId="77777777" w:rsidR="003F4055" w:rsidRDefault="003F4055" w:rsidP="003F4055">
    <w:pPr>
      <w:pStyle w:val="En-tte"/>
      <w:tabs>
        <w:tab w:val="clear" w:pos="4536"/>
        <w:tab w:val="clear" w:pos="9072"/>
        <w:tab w:val="left" w:pos="5220"/>
      </w:tabs>
    </w:pPr>
  </w:p>
  <w:p w14:paraId="3C5EC9A5" w14:textId="12D56A8F" w:rsidR="003F4055" w:rsidRDefault="005F4903" w:rsidP="005F4903">
    <w:pPr>
      <w:pStyle w:val="En-tte"/>
      <w:tabs>
        <w:tab w:val="clear" w:pos="4536"/>
        <w:tab w:val="clear" w:pos="9072"/>
        <w:tab w:val="left" w:pos="3807"/>
      </w:tabs>
    </w:pPr>
    <w:r>
      <w:tab/>
    </w:r>
  </w:p>
  <w:p w14:paraId="1B6A9530" w14:textId="77777777" w:rsidR="003F4055" w:rsidRDefault="003F4055">
    <w:pPr>
      <w:pStyle w:val="En-tte"/>
    </w:pPr>
  </w:p>
  <w:p w14:paraId="62EA0889" w14:textId="77777777" w:rsidR="003F4055" w:rsidRDefault="003F40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3CED" w14:textId="77777777" w:rsidR="005F4903" w:rsidRDefault="005F49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A9B"/>
    <w:multiLevelType w:val="hybridMultilevel"/>
    <w:tmpl w:val="4F4A2EE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338D790E"/>
    <w:multiLevelType w:val="hybridMultilevel"/>
    <w:tmpl w:val="B7303F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26451291">
    <w:abstractNumId w:val="0"/>
  </w:num>
  <w:num w:numId="2" w16cid:durableId="28902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55"/>
    <w:rsid w:val="000A155C"/>
    <w:rsid w:val="000C6078"/>
    <w:rsid w:val="00124DCE"/>
    <w:rsid w:val="00137193"/>
    <w:rsid w:val="001B0416"/>
    <w:rsid w:val="00266595"/>
    <w:rsid w:val="002E3E18"/>
    <w:rsid w:val="003A6C9D"/>
    <w:rsid w:val="003D5E44"/>
    <w:rsid w:val="003F4055"/>
    <w:rsid w:val="00407DA6"/>
    <w:rsid w:val="004D3BB5"/>
    <w:rsid w:val="005117BA"/>
    <w:rsid w:val="00582189"/>
    <w:rsid w:val="005E4BDA"/>
    <w:rsid w:val="005F4903"/>
    <w:rsid w:val="0069323C"/>
    <w:rsid w:val="00731B8E"/>
    <w:rsid w:val="00782B93"/>
    <w:rsid w:val="00806F17"/>
    <w:rsid w:val="008940F1"/>
    <w:rsid w:val="00903E51"/>
    <w:rsid w:val="00914CC6"/>
    <w:rsid w:val="00A15C3A"/>
    <w:rsid w:val="00AB1D07"/>
    <w:rsid w:val="00AC458B"/>
    <w:rsid w:val="00B15926"/>
    <w:rsid w:val="00B17212"/>
    <w:rsid w:val="00B22DEC"/>
    <w:rsid w:val="00BE1FA8"/>
    <w:rsid w:val="00BE3E16"/>
    <w:rsid w:val="00C4469B"/>
    <w:rsid w:val="00CD7658"/>
    <w:rsid w:val="00DD7C7A"/>
    <w:rsid w:val="00E3014A"/>
    <w:rsid w:val="00E61292"/>
    <w:rsid w:val="00F7690A"/>
    <w:rsid w:val="00F91C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780AF"/>
  <w15:chartTrackingRefBased/>
  <w15:docId w15:val="{70E1DA36-6025-4F77-BA1E-42D9334D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055"/>
    <w:pPr>
      <w:spacing w:after="0" w:line="240" w:lineRule="auto"/>
      <w:jc w:val="both"/>
    </w:pPr>
    <w:rPr>
      <w:rFonts w:ascii="Arial" w:eastAsia="Times New Roman" w:hAnsi="Arial"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UGsous-titre">
    <w:name w:val="HUG sous-titre"/>
    <w:basedOn w:val="Normal"/>
    <w:qFormat/>
    <w:rsid w:val="003F4055"/>
    <w:rPr>
      <w:rFonts w:ascii="Arial Narrow" w:hAnsi="Arial Narrow"/>
      <w:b/>
      <w:sz w:val="22"/>
    </w:rPr>
  </w:style>
  <w:style w:type="character" w:styleId="Lienhypertexte">
    <w:name w:val="Hyperlink"/>
    <w:basedOn w:val="Policepardfaut"/>
    <w:uiPriority w:val="99"/>
    <w:unhideWhenUsed/>
    <w:rsid w:val="003F4055"/>
    <w:rPr>
      <w:color w:val="0563C1" w:themeColor="hyperlink"/>
      <w:u w:val="single"/>
    </w:rPr>
  </w:style>
  <w:style w:type="paragraph" w:customStyle="1" w:styleId="Standard">
    <w:name w:val="Standard"/>
    <w:rsid w:val="003F4055"/>
    <w:pPr>
      <w:suppressAutoHyphens/>
      <w:autoSpaceDN w:val="0"/>
      <w:spacing w:after="0" w:line="240" w:lineRule="auto"/>
      <w:jc w:val="both"/>
    </w:pPr>
    <w:rPr>
      <w:rFonts w:ascii="Arial" w:eastAsia="Times New Roman" w:hAnsi="Arial" w:cs="Times New Roman"/>
      <w:kern w:val="3"/>
      <w:sz w:val="20"/>
      <w:szCs w:val="20"/>
    </w:rPr>
  </w:style>
  <w:style w:type="paragraph" w:styleId="Paragraphedeliste">
    <w:name w:val="List Paragraph"/>
    <w:basedOn w:val="Normal"/>
    <w:uiPriority w:val="34"/>
    <w:qFormat/>
    <w:rsid w:val="003F4055"/>
    <w:pPr>
      <w:spacing w:after="200" w:line="276" w:lineRule="auto"/>
      <w:ind w:left="720"/>
      <w:contextualSpacing/>
      <w:jc w:val="left"/>
    </w:pPr>
    <w:rPr>
      <w:rFonts w:asciiTheme="minorHAnsi" w:eastAsiaTheme="minorHAnsi" w:hAnsiTheme="minorHAnsi" w:cstheme="minorBidi"/>
      <w:sz w:val="22"/>
      <w:szCs w:val="22"/>
      <w:lang w:val="fr-CH"/>
    </w:rPr>
  </w:style>
  <w:style w:type="paragraph" w:customStyle="1" w:styleId="HUGref">
    <w:name w:val="HUG ref"/>
    <w:basedOn w:val="Normal"/>
    <w:qFormat/>
    <w:rsid w:val="003F4055"/>
    <w:rPr>
      <w:sz w:val="18"/>
      <w:szCs w:val="18"/>
    </w:rPr>
  </w:style>
  <w:style w:type="paragraph" w:styleId="En-tte">
    <w:name w:val="header"/>
    <w:basedOn w:val="Normal"/>
    <w:link w:val="En-tteCar"/>
    <w:uiPriority w:val="99"/>
    <w:unhideWhenUsed/>
    <w:rsid w:val="003F4055"/>
    <w:pPr>
      <w:tabs>
        <w:tab w:val="center" w:pos="4536"/>
        <w:tab w:val="right" w:pos="9072"/>
      </w:tabs>
    </w:pPr>
  </w:style>
  <w:style w:type="character" w:customStyle="1" w:styleId="En-tteCar">
    <w:name w:val="En-tête Car"/>
    <w:basedOn w:val="Policepardfaut"/>
    <w:link w:val="En-tte"/>
    <w:uiPriority w:val="99"/>
    <w:rsid w:val="003F4055"/>
    <w:rPr>
      <w:rFonts w:ascii="Arial" w:eastAsia="Times New Roman" w:hAnsi="Arial" w:cs="Times New Roman"/>
      <w:sz w:val="20"/>
      <w:szCs w:val="20"/>
      <w:lang w:val="en-US"/>
    </w:rPr>
  </w:style>
  <w:style w:type="paragraph" w:styleId="Pieddepage">
    <w:name w:val="footer"/>
    <w:basedOn w:val="Normal"/>
    <w:link w:val="PieddepageCar"/>
    <w:uiPriority w:val="99"/>
    <w:unhideWhenUsed/>
    <w:rsid w:val="003F4055"/>
    <w:pPr>
      <w:tabs>
        <w:tab w:val="center" w:pos="4536"/>
        <w:tab w:val="right" w:pos="9072"/>
      </w:tabs>
    </w:pPr>
  </w:style>
  <w:style w:type="character" w:customStyle="1" w:styleId="PieddepageCar">
    <w:name w:val="Pied de page Car"/>
    <w:basedOn w:val="Policepardfaut"/>
    <w:link w:val="Pieddepage"/>
    <w:uiPriority w:val="99"/>
    <w:rsid w:val="003F4055"/>
    <w:rPr>
      <w:rFonts w:ascii="Arial" w:eastAsia="Times New Roman" w:hAnsi="Arial" w:cs="Times New Roman"/>
      <w:sz w:val="20"/>
      <w:szCs w:val="20"/>
      <w:lang w:val="en-US"/>
    </w:rPr>
  </w:style>
  <w:style w:type="paragraph" w:customStyle="1" w:styleId="HUGtitre">
    <w:name w:val="HUG titre"/>
    <w:basedOn w:val="Normal"/>
    <w:qFormat/>
    <w:rsid w:val="00BE1FA8"/>
    <w:rPr>
      <w:rFonts w:ascii="Arial Narrow" w:hAnsi="Arial Narrow"/>
      <w:b/>
      <w:sz w:val="26"/>
      <w:szCs w:val="24"/>
      <w:lang w:val="fr-FR"/>
    </w:rPr>
  </w:style>
  <w:style w:type="character" w:styleId="Mentionnonrsolue">
    <w:name w:val="Unresolved Mention"/>
    <w:basedOn w:val="Policepardfaut"/>
    <w:uiPriority w:val="99"/>
    <w:semiHidden/>
    <w:unhideWhenUsed/>
    <w:rsid w:val="00137193"/>
    <w:rPr>
      <w:color w:val="605E5C"/>
      <w:shd w:val="clear" w:color="auto" w:fill="E1DFDD"/>
    </w:rPr>
  </w:style>
  <w:style w:type="paragraph" w:styleId="Rvision">
    <w:name w:val="Revision"/>
    <w:hidden/>
    <w:uiPriority w:val="99"/>
    <w:semiHidden/>
    <w:rsid w:val="0069323C"/>
    <w:pPr>
      <w:spacing w:after="0" w:line="240" w:lineRule="auto"/>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3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g.ch/nephrologie/unite-immunologie-transplantation" TargetMode="External"/><Relationship Id="rId18" Type="http://schemas.openxmlformats.org/officeDocument/2006/relationships/hyperlink" Target="mailto:presse-hug@hcuge.ch" TargetMode="External"/><Relationship Id="rId26" Type="http://schemas.openxmlformats.org/officeDocument/2006/relationships/hyperlink" Target="https://www.hug.ch/publications-hug" TargetMode="External"/><Relationship Id="rId39" Type="http://schemas.openxmlformats.org/officeDocument/2006/relationships/fontTable" Target="fontTable.xml"/><Relationship Id="rId21" Type="http://schemas.openxmlformats.org/officeDocument/2006/relationships/hyperlink" Target="https://www.hug.ch/centre-maladies-virales-emergent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eningo.ch/" TargetMode="External"/><Relationship Id="rId17" Type="http://schemas.openxmlformats.org/officeDocument/2006/relationships/hyperlink" Target="http://www.hug.ch" TargetMode="External"/><Relationship Id="rId25" Type="http://schemas.openxmlformats.org/officeDocument/2006/relationships/hyperlink" Target="https://www.hug.ch/centr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hug.ch/publications-hug" TargetMode="External"/><Relationship Id="rId20" Type="http://schemas.openxmlformats.org/officeDocument/2006/relationships/hyperlink" Target="https://www.hug.ch/laboratoire-virologie/centre-national-reference-influenza-cnri" TargetMode="External"/><Relationship Id="rId29" Type="http://schemas.openxmlformats.org/officeDocument/2006/relationships/hyperlink" Target="http://www.unig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g.ch/centre-maladies-virales-emergentes" TargetMode="External"/><Relationship Id="rId24" Type="http://schemas.openxmlformats.org/officeDocument/2006/relationships/hyperlink" Target="https://www.hug.ch/en-bref" TargetMode="External"/><Relationship Id="rId32" Type="http://schemas.openxmlformats.org/officeDocument/2006/relationships/hyperlink" Target="http://www.unige.ch"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ug.ch/centres" TargetMode="External"/><Relationship Id="rId23" Type="http://schemas.openxmlformats.org/officeDocument/2006/relationships/hyperlink" Target="https://www.hug.ch/nephrologie/unite-immunologie-transplantation" TargetMode="External"/><Relationship Id="rId28" Type="http://schemas.openxmlformats.org/officeDocument/2006/relationships/hyperlink" Target="mailto:presse-hug@hcuge.ch" TargetMode="External"/><Relationship Id="rId36" Type="http://schemas.openxmlformats.org/officeDocument/2006/relationships/footer" Target="footer2.xml"/><Relationship Id="rId10" Type="http://schemas.openxmlformats.org/officeDocument/2006/relationships/hyperlink" Target="https://www.hug.ch/laboratoire-virologie/centre-national-reference-influenza-cnri" TargetMode="External"/><Relationship Id="rId19" Type="http://schemas.openxmlformats.org/officeDocument/2006/relationships/hyperlink" Target="https://www.hug.ch/lieux-dhospitalisation" TargetMode="External"/><Relationship Id="rId31" Type="http://schemas.openxmlformats.org/officeDocument/2006/relationships/hyperlink" Target="http://www.unige.ch" TargetMode="External"/><Relationship Id="rId4" Type="http://schemas.openxmlformats.org/officeDocument/2006/relationships/settings" Target="settings.xml"/><Relationship Id="rId9" Type="http://schemas.openxmlformats.org/officeDocument/2006/relationships/hyperlink" Target="https://www.hug.ch/lieux-dhospitalisation" TargetMode="External"/><Relationship Id="rId14" Type="http://schemas.openxmlformats.org/officeDocument/2006/relationships/hyperlink" Target="https://www.hug.ch/en-bref" TargetMode="External"/><Relationship Id="rId22" Type="http://schemas.openxmlformats.org/officeDocument/2006/relationships/hyperlink" Target="http://www.meningo.ch/" TargetMode="External"/><Relationship Id="rId27" Type="http://schemas.openxmlformats.org/officeDocument/2006/relationships/hyperlink" Target="http://www.hug.ch" TargetMode="External"/><Relationship Id="rId30" Type="http://schemas.openxmlformats.org/officeDocument/2006/relationships/hyperlink" Target="http://www.unige.ch" TargetMode="External"/><Relationship Id="rId35" Type="http://schemas.openxmlformats.org/officeDocument/2006/relationships/footer" Target="footer1.xml"/><Relationship Id="rId8" Type="http://schemas.openxmlformats.org/officeDocument/2006/relationships/hyperlink" Target="https://jnnp.bmj.com/content/early/2023/04/02/jnnp-2022-330619"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A2685-DC87-42A7-BFC6-CB76C207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777</Words>
  <Characters>4275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Hôpitaux Universitaires de Genève</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ROUDAUT-SCHULTZ Anne-Laure</dc:creator>
  <cp:keywords/>
  <dc:description/>
  <cp:lastModifiedBy>ROUDAUT-SCHULTZ Anne-Laure</cp:lastModifiedBy>
  <cp:revision>4</cp:revision>
  <dcterms:created xsi:type="dcterms:W3CDTF">2023-03-31T13:18:00Z</dcterms:created>
  <dcterms:modified xsi:type="dcterms:W3CDTF">2023-04-04T07:24:00Z</dcterms:modified>
</cp:coreProperties>
</file>