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2060" w:rsidRPr="00C424C9" w:rsidRDefault="00C424C9" w:rsidP="008E4E74">
      <w:pPr>
        <w:ind w:left="360"/>
        <w:jc w:val="center"/>
        <w:rPr>
          <w:b/>
          <w:sz w:val="28"/>
          <w:szCs w:val="28"/>
          <w:lang w:val="en-US"/>
        </w:rPr>
      </w:pPr>
      <w:r w:rsidRPr="00C424C9">
        <w:rPr>
          <w:b/>
          <w:sz w:val="28"/>
          <w:szCs w:val="28"/>
          <w:lang w:val="en-US"/>
        </w:rPr>
        <w:t>YOUNEX: Survey specification (WP3)</w:t>
      </w:r>
    </w:p>
    <w:p w:rsidR="005E2060" w:rsidRDefault="005E2060" w:rsidP="005E2060">
      <w:pPr>
        <w:ind w:left="360"/>
        <w:rPr>
          <w:b/>
          <w:lang w:val="en-US"/>
        </w:rPr>
      </w:pPr>
    </w:p>
    <w:p w:rsidR="005E2060" w:rsidRPr="00C424C9" w:rsidRDefault="005E2060" w:rsidP="005E2060">
      <w:pPr>
        <w:ind w:left="360"/>
        <w:rPr>
          <w:b/>
          <w:lang w:val="en-US"/>
        </w:rPr>
      </w:pPr>
    </w:p>
    <w:p w:rsidR="002F47B5" w:rsidRDefault="002F47B5" w:rsidP="002F47B5">
      <w:pPr>
        <w:numPr>
          <w:ilvl w:val="0"/>
          <w:numId w:val="1"/>
        </w:numPr>
        <w:rPr>
          <w:b/>
          <w:lang w:val="en-US"/>
        </w:rPr>
      </w:pPr>
      <w:r w:rsidRPr="00C424C9">
        <w:rPr>
          <w:b/>
          <w:lang w:val="en-US"/>
        </w:rPr>
        <w:t>Effective day or reference period of the survey</w:t>
      </w:r>
    </w:p>
    <w:p w:rsidR="009E5587" w:rsidRDefault="009E5587" w:rsidP="009E5587">
      <w:pPr>
        <w:ind w:left="708"/>
        <w:rPr>
          <w:b/>
          <w:lang w:val="en-US"/>
        </w:rPr>
      </w:pPr>
    </w:p>
    <w:p w:rsidR="009E5587" w:rsidRPr="009E5587" w:rsidRDefault="009E5587" w:rsidP="009E5587">
      <w:pPr>
        <w:ind w:left="708"/>
        <w:rPr>
          <w:lang w:val="en-US"/>
        </w:rPr>
      </w:pPr>
      <w:r>
        <w:rPr>
          <w:lang w:val="en-US"/>
        </w:rPr>
        <w:t xml:space="preserve">30 January – </w:t>
      </w:r>
      <w:r w:rsidRPr="009E5587">
        <w:rPr>
          <w:lang w:val="en-US"/>
        </w:rPr>
        <w:t>1</w:t>
      </w:r>
      <w:r>
        <w:rPr>
          <w:lang w:val="en-US"/>
        </w:rPr>
        <w:t>7 May 2010</w:t>
      </w:r>
    </w:p>
    <w:p w:rsidR="003370C4" w:rsidRPr="00C424C9" w:rsidRDefault="003370C4" w:rsidP="006B51CC">
      <w:pPr>
        <w:ind w:left="360"/>
        <w:rPr>
          <w:lang w:val="en-US"/>
        </w:rPr>
      </w:pPr>
    </w:p>
    <w:p w:rsidR="002F47B5" w:rsidRPr="00C424C9" w:rsidRDefault="006B51CC" w:rsidP="002F47B5">
      <w:pPr>
        <w:numPr>
          <w:ilvl w:val="0"/>
          <w:numId w:val="1"/>
        </w:numPr>
        <w:rPr>
          <w:b/>
          <w:lang w:val="en-US"/>
        </w:rPr>
      </w:pPr>
      <w:r w:rsidRPr="00C424C9">
        <w:rPr>
          <w:b/>
          <w:lang w:val="en-US"/>
        </w:rPr>
        <w:t>Method of sampling</w:t>
      </w:r>
    </w:p>
    <w:p w:rsidR="006B51CC" w:rsidRPr="00C424C9" w:rsidRDefault="006B51CC" w:rsidP="006B51CC">
      <w:pPr>
        <w:ind w:left="360"/>
        <w:rPr>
          <w:b/>
          <w:lang w:val="en-US"/>
        </w:rPr>
      </w:pPr>
    </w:p>
    <w:p w:rsidR="002F47B5" w:rsidRPr="002848E0" w:rsidRDefault="002F47B5" w:rsidP="002848E0">
      <w:pPr>
        <w:numPr>
          <w:ilvl w:val="1"/>
          <w:numId w:val="1"/>
        </w:numPr>
        <w:rPr>
          <w:lang w:val="en-US"/>
        </w:rPr>
      </w:pPr>
      <w:r w:rsidRPr="00C424C9">
        <w:rPr>
          <w:lang w:val="en-US"/>
        </w:rPr>
        <w:t>Type of sample:</w:t>
      </w:r>
      <w:r w:rsidR="002848E0">
        <w:rPr>
          <w:lang w:val="en-US"/>
        </w:rPr>
        <w:t xml:space="preserve"> </w:t>
      </w:r>
      <w:r w:rsidRPr="002848E0">
        <w:rPr>
          <w:b/>
          <w:lang w:val="en-US"/>
        </w:rPr>
        <w:t>General random</w:t>
      </w:r>
      <w:r w:rsidR="008E1E50" w:rsidRPr="002848E0">
        <w:rPr>
          <w:b/>
          <w:lang w:val="en-US"/>
        </w:rPr>
        <w:t xml:space="preserve"> (drawn by </w:t>
      </w:r>
      <w:r w:rsidR="000A0D86" w:rsidRPr="002848E0">
        <w:rPr>
          <w:b/>
          <w:lang w:val="en-US"/>
        </w:rPr>
        <w:t>random numbering</w:t>
      </w:r>
      <w:r w:rsidR="008E1E50" w:rsidRPr="002848E0">
        <w:rPr>
          <w:b/>
          <w:lang w:val="en-US"/>
        </w:rPr>
        <w:t xml:space="preserve"> </w:t>
      </w:r>
      <w:r w:rsidR="000A0D86" w:rsidRPr="002848E0">
        <w:rPr>
          <w:b/>
          <w:lang w:val="en-US"/>
        </w:rPr>
        <w:t xml:space="preserve">function </w:t>
      </w:r>
      <w:r w:rsidR="008E1E50" w:rsidRPr="002848E0">
        <w:rPr>
          <w:b/>
          <w:lang w:val="en-US"/>
        </w:rPr>
        <w:t>in Excel)</w:t>
      </w:r>
    </w:p>
    <w:p w:rsidR="002F47B5" w:rsidRPr="00C424C9" w:rsidRDefault="002F47B5" w:rsidP="002F47B5">
      <w:pPr>
        <w:ind w:left="1980"/>
        <w:rPr>
          <w:lang w:val="en-US"/>
        </w:rPr>
      </w:pPr>
    </w:p>
    <w:p w:rsidR="00411597" w:rsidRPr="00411597" w:rsidRDefault="002F47B5" w:rsidP="00411597">
      <w:pPr>
        <w:numPr>
          <w:ilvl w:val="1"/>
          <w:numId w:val="1"/>
        </w:numPr>
        <w:rPr>
          <w:lang w:val="en-US"/>
        </w:rPr>
      </w:pPr>
      <w:r w:rsidRPr="00C424C9">
        <w:rPr>
          <w:lang w:val="en-US"/>
        </w:rPr>
        <w:t>Dataset used as sampling frame</w:t>
      </w:r>
      <w:r w:rsidR="006B51CC" w:rsidRPr="00C424C9">
        <w:rPr>
          <w:lang w:val="en-US"/>
        </w:rPr>
        <w:t>:</w:t>
      </w:r>
      <w:r w:rsidR="00411597">
        <w:rPr>
          <w:lang w:val="en-US"/>
        </w:rPr>
        <w:t xml:space="preserve"> </w:t>
      </w:r>
      <w:r w:rsidR="00411597" w:rsidRPr="00411597">
        <w:rPr>
          <w:b/>
          <w:lang w:val="en-US"/>
        </w:rPr>
        <w:t>Complete</w:t>
      </w:r>
      <w:r w:rsidR="00411597">
        <w:rPr>
          <w:lang w:val="en-US"/>
        </w:rPr>
        <w:t xml:space="preserve"> </w:t>
      </w:r>
      <w:r w:rsidR="00411597" w:rsidRPr="00411597">
        <w:rPr>
          <w:b/>
          <w:lang w:val="en-US"/>
        </w:rPr>
        <w:t>census</w:t>
      </w:r>
      <w:r w:rsidR="00411597">
        <w:rPr>
          <w:lang w:val="en-US"/>
        </w:rPr>
        <w:t xml:space="preserve"> </w:t>
      </w:r>
      <w:r w:rsidR="00411597" w:rsidRPr="00411597">
        <w:rPr>
          <w:b/>
          <w:lang w:val="en-US"/>
        </w:rPr>
        <w:t xml:space="preserve">data of residents </w:t>
      </w:r>
      <w:r w:rsidR="00411597">
        <w:rPr>
          <w:b/>
          <w:lang w:val="en-US"/>
        </w:rPr>
        <w:t xml:space="preserve">of the </w:t>
      </w:r>
      <w:r w:rsidR="00411597" w:rsidRPr="00411597">
        <w:rPr>
          <w:b/>
          <w:lang w:val="en-US"/>
        </w:rPr>
        <w:t>City</w:t>
      </w:r>
      <w:r w:rsidR="00411597">
        <w:rPr>
          <w:b/>
          <w:lang w:val="en-US"/>
        </w:rPr>
        <w:t xml:space="preserve"> of</w:t>
      </w:r>
      <w:r w:rsidR="00411597" w:rsidRPr="00411597">
        <w:rPr>
          <w:b/>
          <w:lang w:val="en-US"/>
        </w:rPr>
        <w:t xml:space="preserve"> Kielce born between 31 </w:t>
      </w:r>
      <w:r w:rsidR="00411597">
        <w:rPr>
          <w:b/>
          <w:lang w:val="en-US"/>
        </w:rPr>
        <w:t>December</w:t>
      </w:r>
      <w:r w:rsidR="00411597" w:rsidRPr="00411597">
        <w:rPr>
          <w:b/>
          <w:lang w:val="en-US"/>
        </w:rPr>
        <w:t xml:space="preserve"> 1974 a</w:t>
      </w:r>
      <w:r w:rsidR="00411597">
        <w:rPr>
          <w:b/>
          <w:lang w:val="en-US"/>
        </w:rPr>
        <w:t>nd</w:t>
      </w:r>
      <w:r w:rsidR="00411597" w:rsidRPr="00411597">
        <w:rPr>
          <w:b/>
          <w:lang w:val="en-US"/>
        </w:rPr>
        <w:t xml:space="preserve"> 1 </w:t>
      </w:r>
      <w:r w:rsidR="00411597">
        <w:rPr>
          <w:b/>
          <w:lang w:val="en-US"/>
        </w:rPr>
        <w:t>January</w:t>
      </w:r>
      <w:r w:rsidR="00411597" w:rsidRPr="00411597">
        <w:rPr>
          <w:b/>
          <w:lang w:val="en-US"/>
        </w:rPr>
        <w:t xml:space="preserve"> 1991</w:t>
      </w:r>
      <w:r w:rsidR="00411597">
        <w:rPr>
          <w:b/>
          <w:lang w:val="en-US"/>
        </w:rPr>
        <w:t xml:space="preserve"> </w:t>
      </w:r>
      <w:r w:rsidR="00411597" w:rsidRPr="00411597">
        <w:rPr>
          <w:lang w:val="en-US"/>
        </w:rPr>
        <w:t xml:space="preserve">including for each person: ID number </w:t>
      </w:r>
      <w:r w:rsidR="00411597">
        <w:rPr>
          <w:lang w:val="en-US"/>
        </w:rPr>
        <w:t>(</w:t>
      </w:r>
      <w:r w:rsidR="00411597" w:rsidRPr="00411597">
        <w:rPr>
          <w:lang w:val="en-US"/>
        </w:rPr>
        <w:t>PESEL</w:t>
      </w:r>
      <w:r w:rsidR="00411597">
        <w:rPr>
          <w:lang w:val="en-US"/>
        </w:rPr>
        <w:t>)</w:t>
      </w:r>
      <w:r w:rsidR="00411597" w:rsidRPr="00411597">
        <w:rPr>
          <w:lang w:val="en-US"/>
        </w:rPr>
        <w:t>,</w:t>
      </w:r>
      <w:r w:rsidR="00411597">
        <w:rPr>
          <w:lang w:val="en-US"/>
        </w:rPr>
        <w:t xml:space="preserve"> surname and family name, date and place of birth, gender.</w:t>
      </w:r>
    </w:p>
    <w:p w:rsidR="006621A5" w:rsidRPr="00C424C9" w:rsidRDefault="006621A5" w:rsidP="006621A5">
      <w:pPr>
        <w:ind w:left="1080"/>
        <w:rPr>
          <w:lang w:val="en-US"/>
        </w:rPr>
      </w:pPr>
    </w:p>
    <w:p w:rsidR="002F47B5" w:rsidRPr="002848E0" w:rsidRDefault="002F47B5" w:rsidP="002848E0">
      <w:pPr>
        <w:numPr>
          <w:ilvl w:val="1"/>
          <w:numId w:val="1"/>
        </w:numPr>
        <w:rPr>
          <w:lang w:val="en-US"/>
        </w:rPr>
      </w:pPr>
      <w:r w:rsidRPr="00C424C9">
        <w:rPr>
          <w:lang w:val="en-US"/>
        </w:rPr>
        <w:t>Sampling units:</w:t>
      </w:r>
      <w:r w:rsidR="002848E0">
        <w:rPr>
          <w:lang w:val="en-US"/>
        </w:rPr>
        <w:t xml:space="preserve"> </w:t>
      </w:r>
      <w:r w:rsidRPr="002848E0">
        <w:rPr>
          <w:b/>
          <w:lang w:val="en-US"/>
        </w:rPr>
        <w:t>Persons</w:t>
      </w:r>
    </w:p>
    <w:p w:rsidR="006621A5" w:rsidRPr="00C424C9" w:rsidRDefault="006621A5" w:rsidP="006B51CC">
      <w:pPr>
        <w:rPr>
          <w:lang w:val="en-US"/>
        </w:rPr>
      </w:pPr>
    </w:p>
    <w:p w:rsidR="002F47B5" w:rsidRPr="00C424C9" w:rsidRDefault="002F47B5" w:rsidP="002F47B5">
      <w:pPr>
        <w:numPr>
          <w:ilvl w:val="1"/>
          <w:numId w:val="1"/>
        </w:numPr>
        <w:rPr>
          <w:lang w:val="en-US"/>
        </w:rPr>
      </w:pPr>
      <w:r w:rsidRPr="00C424C9">
        <w:rPr>
          <w:lang w:val="en-US"/>
        </w:rPr>
        <w:t xml:space="preserve">Additional </w:t>
      </w:r>
      <w:r w:rsidR="00F57CF7" w:rsidRPr="00C424C9">
        <w:rPr>
          <w:lang w:val="en-US"/>
        </w:rPr>
        <w:t>information on sampling methods</w:t>
      </w:r>
      <w:r w:rsidR="007F49FD" w:rsidRPr="00C424C9">
        <w:rPr>
          <w:lang w:val="en-US"/>
        </w:rPr>
        <w:t xml:space="preserve">: </w:t>
      </w:r>
      <w:r w:rsidR="00FE38CC">
        <w:rPr>
          <w:b/>
          <w:lang w:val="en-US"/>
        </w:rPr>
        <w:t xml:space="preserve">The first </w:t>
      </w:r>
      <w:r w:rsidR="008E1E50">
        <w:rPr>
          <w:b/>
          <w:lang w:val="en-US"/>
        </w:rPr>
        <w:t>tranche of the sample contained 4</w:t>
      </w:r>
      <w:r w:rsidR="00F12E9D">
        <w:rPr>
          <w:b/>
          <w:lang w:val="en-US"/>
        </w:rPr>
        <w:t>.</w:t>
      </w:r>
      <w:r w:rsidR="008E1E50">
        <w:rPr>
          <w:b/>
          <w:lang w:val="en-US"/>
        </w:rPr>
        <w:t xml:space="preserve">725 persons. </w:t>
      </w:r>
      <w:r w:rsidR="006C1B23">
        <w:rPr>
          <w:b/>
          <w:lang w:val="en-US"/>
        </w:rPr>
        <w:t xml:space="preserve">Net size of three groups available from this tranche were insufficient (293 unemployed, 389 precarious and 402 </w:t>
      </w:r>
      <w:r w:rsidR="006C1B23" w:rsidRPr="006C1B23">
        <w:rPr>
          <w:b/>
          <w:lang w:val="en-US"/>
        </w:rPr>
        <w:t>regularly employed</w:t>
      </w:r>
      <w:r w:rsidR="006C1B23">
        <w:rPr>
          <w:b/>
          <w:lang w:val="en-US"/>
        </w:rPr>
        <w:t xml:space="preserve"> before check) thus the second tranche of 2</w:t>
      </w:r>
      <w:r w:rsidR="00F12E9D">
        <w:rPr>
          <w:b/>
          <w:lang w:val="en-US"/>
        </w:rPr>
        <w:t>.</w:t>
      </w:r>
      <w:r w:rsidR="006C1B23">
        <w:rPr>
          <w:b/>
          <w:lang w:val="en-US"/>
        </w:rPr>
        <w:t>300 persons was drawn. It was exploited until required numbers of interviews in</w:t>
      </w:r>
      <w:r w:rsidR="008E1E50">
        <w:rPr>
          <w:b/>
          <w:lang w:val="en-US"/>
        </w:rPr>
        <w:t xml:space="preserve"> </w:t>
      </w:r>
      <w:r w:rsidR="006C1B23">
        <w:rPr>
          <w:b/>
          <w:lang w:val="en-US"/>
        </w:rPr>
        <w:t>two firs groups were achieved</w:t>
      </w:r>
      <w:r w:rsidR="00B72FEF">
        <w:rPr>
          <w:b/>
          <w:lang w:val="en-US"/>
        </w:rPr>
        <w:t>; 1</w:t>
      </w:r>
      <w:r w:rsidR="00F12E9D">
        <w:rPr>
          <w:b/>
          <w:lang w:val="en-US"/>
        </w:rPr>
        <w:t>.</w:t>
      </w:r>
      <w:r w:rsidR="00B72FEF">
        <w:rPr>
          <w:b/>
          <w:lang w:val="en-US"/>
        </w:rPr>
        <w:t>628 addresses from this tranche were contacted</w:t>
      </w:r>
      <w:r w:rsidR="006C1B23">
        <w:rPr>
          <w:b/>
          <w:lang w:val="en-US"/>
        </w:rPr>
        <w:t>.</w:t>
      </w:r>
      <w:r w:rsidR="00FE38CC">
        <w:rPr>
          <w:b/>
          <w:lang w:val="en-US"/>
        </w:rPr>
        <w:t xml:space="preserve"> </w:t>
      </w:r>
    </w:p>
    <w:p w:rsidR="008C03B9" w:rsidRPr="00C424C9" w:rsidRDefault="008C03B9" w:rsidP="00F57CF7">
      <w:pPr>
        <w:rPr>
          <w:lang w:val="en-US"/>
        </w:rPr>
      </w:pPr>
    </w:p>
    <w:p w:rsidR="00F57CF7" w:rsidRPr="00C424C9" w:rsidRDefault="006B51CC" w:rsidP="00F57CF7">
      <w:pPr>
        <w:numPr>
          <w:ilvl w:val="0"/>
          <w:numId w:val="1"/>
        </w:numPr>
        <w:rPr>
          <w:b/>
          <w:lang w:val="en-US"/>
        </w:rPr>
      </w:pPr>
      <w:r w:rsidRPr="00C424C9">
        <w:rPr>
          <w:b/>
          <w:lang w:val="en-US"/>
        </w:rPr>
        <w:t>Universe of persons</w:t>
      </w:r>
    </w:p>
    <w:p w:rsidR="006B51CC" w:rsidRPr="00C424C9" w:rsidRDefault="006B51CC" w:rsidP="006B51CC">
      <w:pPr>
        <w:ind w:left="360"/>
        <w:rPr>
          <w:b/>
          <w:lang w:val="en-US"/>
        </w:rPr>
      </w:pPr>
    </w:p>
    <w:p w:rsidR="00F57CF7" w:rsidRPr="00C424C9" w:rsidRDefault="00F57CF7" w:rsidP="00F57CF7">
      <w:pPr>
        <w:numPr>
          <w:ilvl w:val="1"/>
          <w:numId w:val="1"/>
        </w:numPr>
        <w:rPr>
          <w:lang w:val="en-US"/>
        </w:rPr>
      </w:pPr>
      <w:r w:rsidRPr="00C424C9">
        <w:rPr>
          <w:lang w:val="en-US"/>
        </w:rPr>
        <w:t>Persons covered</w:t>
      </w:r>
      <w:r w:rsidR="00C00714">
        <w:rPr>
          <w:lang w:val="en-US"/>
        </w:rPr>
        <w:t>:</w:t>
      </w:r>
      <w:r w:rsidR="00411597">
        <w:rPr>
          <w:lang w:val="en-US"/>
        </w:rPr>
        <w:t xml:space="preserve"> </w:t>
      </w:r>
      <w:r w:rsidR="00411597" w:rsidRPr="00411597">
        <w:rPr>
          <w:b/>
          <w:lang w:val="en-US"/>
        </w:rPr>
        <w:t xml:space="preserve">residents </w:t>
      </w:r>
      <w:r w:rsidR="00411597">
        <w:rPr>
          <w:b/>
          <w:lang w:val="en-US"/>
        </w:rPr>
        <w:t xml:space="preserve">of the </w:t>
      </w:r>
      <w:r w:rsidR="00411597" w:rsidRPr="00411597">
        <w:rPr>
          <w:b/>
          <w:lang w:val="en-US"/>
        </w:rPr>
        <w:t xml:space="preserve">City </w:t>
      </w:r>
      <w:r w:rsidR="00411597">
        <w:rPr>
          <w:b/>
          <w:lang w:val="en-US"/>
        </w:rPr>
        <w:t xml:space="preserve">of </w:t>
      </w:r>
      <w:r w:rsidR="00411597" w:rsidRPr="00411597">
        <w:rPr>
          <w:b/>
          <w:lang w:val="en-US"/>
        </w:rPr>
        <w:t xml:space="preserve">Kielce born between 31 </w:t>
      </w:r>
      <w:r w:rsidR="00411597">
        <w:rPr>
          <w:b/>
          <w:lang w:val="en-US"/>
        </w:rPr>
        <w:t>December</w:t>
      </w:r>
      <w:r w:rsidR="00411597" w:rsidRPr="00411597">
        <w:rPr>
          <w:b/>
          <w:lang w:val="en-US"/>
        </w:rPr>
        <w:t xml:space="preserve"> 1974 a</w:t>
      </w:r>
      <w:r w:rsidR="00411597">
        <w:rPr>
          <w:b/>
          <w:lang w:val="en-US"/>
        </w:rPr>
        <w:t>nd</w:t>
      </w:r>
      <w:r w:rsidR="00411597" w:rsidRPr="00411597">
        <w:rPr>
          <w:b/>
          <w:lang w:val="en-US"/>
        </w:rPr>
        <w:t xml:space="preserve"> 1 </w:t>
      </w:r>
      <w:r w:rsidR="00411597">
        <w:rPr>
          <w:b/>
          <w:lang w:val="en-US"/>
        </w:rPr>
        <w:t>January</w:t>
      </w:r>
      <w:r w:rsidR="00411597" w:rsidRPr="00411597">
        <w:rPr>
          <w:b/>
          <w:lang w:val="en-US"/>
        </w:rPr>
        <w:t xml:space="preserve"> 1991</w:t>
      </w:r>
    </w:p>
    <w:p w:rsidR="00F959B1" w:rsidRPr="00C424C9" w:rsidRDefault="00F57CF7">
      <w:pPr>
        <w:numPr>
          <w:ilvl w:val="1"/>
          <w:numId w:val="1"/>
        </w:numPr>
        <w:rPr>
          <w:lang w:val="en-US"/>
        </w:rPr>
      </w:pPr>
      <w:r w:rsidRPr="00C424C9">
        <w:rPr>
          <w:lang w:val="en-US"/>
        </w:rPr>
        <w:t>Persons not covered</w:t>
      </w:r>
      <w:r w:rsidR="00C00714">
        <w:rPr>
          <w:lang w:val="en-US"/>
        </w:rPr>
        <w:t>:</w:t>
      </w:r>
    </w:p>
    <w:p w:rsidR="006621A5" w:rsidRPr="00C424C9" w:rsidRDefault="006621A5" w:rsidP="006621A5">
      <w:pPr>
        <w:ind w:left="1080"/>
        <w:rPr>
          <w:lang w:val="en-US"/>
        </w:rPr>
      </w:pPr>
    </w:p>
    <w:p w:rsidR="00F57CF7" w:rsidRPr="00C424C9" w:rsidRDefault="00F57CF7" w:rsidP="00F57CF7">
      <w:pPr>
        <w:numPr>
          <w:ilvl w:val="0"/>
          <w:numId w:val="1"/>
        </w:numPr>
        <w:rPr>
          <w:b/>
          <w:lang w:val="en-US"/>
        </w:rPr>
      </w:pPr>
      <w:r w:rsidRPr="00C424C9">
        <w:rPr>
          <w:b/>
          <w:lang w:val="en-US"/>
        </w:rPr>
        <w:t>Sample size</w:t>
      </w:r>
    </w:p>
    <w:p w:rsidR="006B51CC" w:rsidRPr="00C424C9" w:rsidRDefault="006B51CC" w:rsidP="006B51CC">
      <w:pPr>
        <w:ind w:left="360"/>
        <w:rPr>
          <w:b/>
          <w:lang w:val="en-US"/>
        </w:rPr>
      </w:pPr>
    </w:p>
    <w:p w:rsidR="00F57CF7" w:rsidRPr="00C424C9" w:rsidRDefault="00F57CF7" w:rsidP="00F57CF7">
      <w:pPr>
        <w:numPr>
          <w:ilvl w:val="1"/>
          <w:numId w:val="1"/>
        </w:numPr>
        <w:rPr>
          <w:lang w:val="en-US"/>
        </w:rPr>
      </w:pPr>
      <w:r w:rsidRPr="00C424C9">
        <w:rPr>
          <w:lang w:val="en-US"/>
        </w:rPr>
        <w:t xml:space="preserve">Net sample for the </w:t>
      </w:r>
      <w:r w:rsidR="00C424C9">
        <w:rPr>
          <w:lang w:val="en-US"/>
        </w:rPr>
        <w:t>three groups</w:t>
      </w:r>
      <w:r w:rsidRPr="00C424C9">
        <w:rPr>
          <w:lang w:val="en-US"/>
        </w:rPr>
        <w:t>:</w:t>
      </w:r>
    </w:p>
    <w:p w:rsidR="008C03B9" w:rsidRPr="00C424C9" w:rsidRDefault="00C424C9" w:rsidP="00C424C9">
      <w:pPr>
        <w:numPr>
          <w:ilvl w:val="2"/>
          <w:numId w:val="9"/>
        </w:numPr>
        <w:tabs>
          <w:tab w:val="left" w:pos="4335"/>
        </w:tabs>
        <w:rPr>
          <w:lang w:val="en-US"/>
        </w:rPr>
      </w:pPr>
      <w:r>
        <w:rPr>
          <w:lang w:val="en-US"/>
        </w:rPr>
        <w:t>Unemployed</w:t>
      </w:r>
      <w:r w:rsidR="00100CB3" w:rsidRPr="00C424C9">
        <w:rPr>
          <w:lang w:val="en-US"/>
        </w:rPr>
        <w:t>:</w:t>
      </w:r>
      <w:r w:rsidR="00A86E42">
        <w:rPr>
          <w:lang w:val="en-US"/>
        </w:rPr>
        <w:tab/>
      </w:r>
      <w:r w:rsidR="00A86E42">
        <w:rPr>
          <w:lang w:val="en-US"/>
        </w:rPr>
        <w:tab/>
      </w:r>
      <w:r w:rsidR="00A86E42" w:rsidRPr="00F12E9D">
        <w:rPr>
          <w:b/>
          <w:lang w:val="en-US"/>
        </w:rPr>
        <w:t>396</w:t>
      </w:r>
    </w:p>
    <w:p w:rsidR="008C03B9" w:rsidRPr="00C424C9" w:rsidRDefault="00C424C9" w:rsidP="00C424C9">
      <w:pPr>
        <w:numPr>
          <w:ilvl w:val="2"/>
          <w:numId w:val="9"/>
        </w:numPr>
        <w:tabs>
          <w:tab w:val="left" w:pos="4335"/>
        </w:tabs>
        <w:rPr>
          <w:lang w:val="en-US"/>
        </w:rPr>
      </w:pPr>
      <w:r>
        <w:rPr>
          <w:lang w:val="en-US"/>
        </w:rPr>
        <w:t>Precarious</w:t>
      </w:r>
      <w:r w:rsidR="00636952" w:rsidRPr="00C424C9">
        <w:rPr>
          <w:lang w:val="en-US"/>
        </w:rPr>
        <w:t>:</w:t>
      </w:r>
      <w:r w:rsidR="00A86E42">
        <w:rPr>
          <w:lang w:val="en-US"/>
        </w:rPr>
        <w:tab/>
      </w:r>
      <w:r w:rsidR="00A86E42">
        <w:rPr>
          <w:lang w:val="en-US"/>
        </w:rPr>
        <w:tab/>
      </w:r>
      <w:r w:rsidR="00A86E42" w:rsidRPr="00F12E9D">
        <w:rPr>
          <w:b/>
          <w:lang w:val="en-US"/>
        </w:rPr>
        <w:t>399</w:t>
      </w:r>
    </w:p>
    <w:p w:rsidR="00636952" w:rsidRPr="00C424C9" w:rsidRDefault="00C424C9" w:rsidP="00C424C9">
      <w:pPr>
        <w:numPr>
          <w:ilvl w:val="2"/>
          <w:numId w:val="9"/>
        </w:numPr>
        <w:tabs>
          <w:tab w:val="left" w:pos="4335"/>
        </w:tabs>
        <w:rPr>
          <w:lang w:val="en-US"/>
        </w:rPr>
      </w:pPr>
      <w:r>
        <w:rPr>
          <w:lang w:val="en-US"/>
        </w:rPr>
        <w:t>Regularly employed</w:t>
      </w:r>
      <w:r w:rsidR="00636952" w:rsidRPr="00C424C9">
        <w:rPr>
          <w:lang w:val="en-US"/>
        </w:rPr>
        <w:t>:</w:t>
      </w:r>
      <w:r w:rsidR="00A86E42">
        <w:rPr>
          <w:lang w:val="en-US"/>
        </w:rPr>
        <w:tab/>
      </w:r>
      <w:r w:rsidR="00A86E42" w:rsidRPr="00F12E9D">
        <w:rPr>
          <w:b/>
          <w:lang w:val="en-US"/>
        </w:rPr>
        <w:t>400</w:t>
      </w:r>
    </w:p>
    <w:p w:rsidR="00636952" w:rsidRPr="00C424C9" w:rsidRDefault="00636952" w:rsidP="008C03B9">
      <w:pPr>
        <w:tabs>
          <w:tab w:val="left" w:pos="4335"/>
        </w:tabs>
        <w:ind w:left="1800"/>
        <w:rPr>
          <w:lang w:val="en-US"/>
        </w:rPr>
      </w:pPr>
    </w:p>
    <w:p w:rsidR="005C2802" w:rsidRPr="00C424C9" w:rsidRDefault="005C2802" w:rsidP="005C2802">
      <w:pPr>
        <w:numPr>
          <w:ilvl w:val="1"/>
          <w:numId w:val="1"/>
        </w:numPr>
        <w:rPr>
          <w:lang w:val="en-US"/>
        </w:rPr>
      </w:pPr>
      <w:r>
        <w:rPr>
          <w:lang w:val="en-US"/>
        </w:rPr>
        <w:t>Response rate for the three groups</w:t>
      </w:r>
      <w:r w:rsidRPr="00C424C9">
        <w:rPr>
          <w:lang w:val="en-US"/>
        </w:rPr>
        <w:t>:</w:t>
      </w:r>
    </w:p>
    <w:p w:rsidR="005C2802" w:rsidRPr="00C424C9" w:rsidRDefault="005C2802" w:rsidP="005C2802">
      <w:pPr>
        <w:numPr>
          <w:ilvl w:val="2"/>
          <w:numId w:val="9"/>
        </w:numPr>
        <w:tabs>
          <w:tab w:val="left" w:pos="4335"/>
        </w:tabs>
        <w:rPr>
          <w:lang w:val="en-US"/>
        </w:rPr>
      </w:pPr>
      <w:r>
        <w:rPr>
          <w:lang w:val="en-US"/>
        </w:rPr>
        <w:t>Unemployed</w:t>
      </w:r>
      <w:r w:rsidRPr="00C424C9">
        <w:rPr>
          <w:lang w:val="en-US"/>
        </w:rPr>
        <w:t>:</w:t>
      </w:r>
    </w:p>
    <w:p w:rsidR="005C2802" w:rsidRPr="00C424C9" w:rsidRDefault="005C2802" w:rsidP="005C2802">
      <w:pPr>
        <w:numPr>
          <w:ilvl w:val="2"/>
          <w:numId w:val="9"/>
        </w:numPr>
        <w:tabs>
          <w:tab w:val="left" w:pos="4335"/>
        </w:tabs>
        <w:rPr>
          <w:lang w:val="en-US"/>
        </w:rPr>
      </w:pPr>
      <w:r>
        <w:rPr>
          <w:lang w:val="en-US"/>
        </w:rPr>
        <w:t>Precarious</w:t>
      </w:r>
      <w:r w:rsidRPr="00C424C9">
        <w:rPr>
          <w:lang w:val="en-US"/>
        </w:rPr>
        <w:t>:</w:t>
      </w:r>
    </w:p>
    <w:p w:rsidR="005C2802" w:rsidRPr="00C424C9" w:rsidRDefault="005C2802" w:rsidP="005C2802">
      <w:pPr>
        <w:numPr>
          <w:ilvl w:val="2"/>
          <w:numId w:val="9"/>
        </w:numPr>
        <w:tabs>
          <w:tab w:val="left" w:pos="4335"/>
        </w:tabs>
        <w:rPr>
          <w:lang w:val="en-US"/>
        </w:rPr>
      </w:pPr>
      <w:r>
        <w:rPr>
          <w:lang w:val="en-US"/>
        </w:rPr>
        <w:t>Regularly employed</w:t>
      </w:r>
      <w:r w:rsidRPr="00C424C9">
        <w:rPr>
          <w:lang w:val="en-US"/>
        </w:rPr>
        <w:t>:</w:t>
      </w:r>
    </w:p>
    <w:p w:rsidR="00A832E0" w:rsidRDefault="00A832E0" w:rsidP="005C2802">
      <w:pPr>
        <w:ind w:left="1080"/>
        <w:rPr>
          <w:b/>
          <w:i/>
          <w:lang w:val="en-US"/>
        </w:rPr>
      </w:pPr>
    </w:p>
    <w:p w:rsidR="00357677" w:rsidRPr="00A2062A" w:rsidRDefault="00A826F6" w:rsidP="005C2802">
      <w:pPr>
        <w:ind w:left="1080"/>
        <w:rPr>
          <w:lang w:val="en-US"/>
        </w:rPr>
      </w:pPr>
      <w:r>
        <w:rPr>
          <w:b/>
          <w:i/>
          <w:lang w:val="en-US"/>
        </w:rPr>
        <w:t xml:space="preserve">Because of </w:t>
      </w:r>
      <w:r w:rsidR="003D2F14">
        <w:rPr>
          <w:b/>
          <w:i/>
          <w:lang w:val="en-US"/>
        </w:rPr>
        <w:t xml:space="preserve">the sampling design specified above </w:t>
      </w:r>
      <w:r w:rsidR="003D2F14" w:rsidRPr="00A2062A">
        <w:rPr>
          <w:b/>
          <w:i/>
          <w:lang w:val="en-US"/>
        </w:rPr>
        <w:t xml:space="preserve">it </w:t>
      </w:r>
      <w:r w:rsidR="00A2062A">
        <w:rPr>
          <w:b/>
          <w:i/>
          <w:lang w:val="en-US"/>
        </w:rPr>
        <w:t>wa</w:t>
      </w:r>
      <w:r w:rsidR="00A2062A" w:rsidRPr="00A2062A">
        <w:rPr>
          <w:b/>
          <w:i/>
          <w:lang w:val="en-US"/>
        </w:rPr>
        <w:t xml:space="preserve">s impossible to </w:t>
      </w:r>
      <w:r w:rsidR="00F12E9D">
        <w:rPr>
          <w:b/>
          <w:i/>
          <w:lang w:val="en-US"/>
        </w:rPr>
        <w:t xml:space="preserve">assign a </w:t>
      </w:r>
      <w:r w:rsidR="00A2062A">
        <w:rPr>
          <w:b/>
          <w:i/>
          <w:lang w:val="en-US"/>
        </w:rPr>
        <w:t xml:space="preserve">person to </w:t>
      </w:r>
      <w:r w:rsidR="00F12E9D">
        <w:rPr>
          <w:b/>
          <w:i/>
          <w:lang w:val="en-US"/>
        </w:rPr>
        <w:t xml:space="preserve">a </w:t>
      </w:r>
      <w:r w:rsidR="00A2062A">
        <w:rPr>
          <w:b/>
          <w:i/>
          <w:lang w:val="en-US"/>
        </w:rPr>
        <w:t>subgroup</w:t>
      </w:r>
      <w:r w:rsidR="00A2062A" w:rsidRPr="00A2062A">
        <w:rPr>
          <w:b/>
          <w:i/>
          <w:lang w:val="en-US"/>
        </w:rPr>
        <w:t xml:space="preserve"> </w:t>
      </w:r>
      <w:r w:rsidR="00A2062A">
        <w:rPr>
          <w:b/>
          <w:i/>
          <w:lang w:val="en-US"/>
        </w:rPr>
        <w:t xml:space="preserve">until the screening interview was completed which was </w:t>
      </w:r>
      <w:r w:rsidR="00F12E9D">
        <w:rPr>
          <w:b/>
          <w:i/>
          <w:lang w:val="en-US"/>
        </w:rPr>
        <w:t>by definition unachievable</w:t>
      </w:r>
      <w:r w:rsidR="00A2062A">
        <w:rPr>
          <w:b/>
          <w:i/>
          <w:lang w:val="en-US"/>
        </w:rPr>
        <w:t xml:space="preserve"> for all “non-response” and “non-contact”.</w:t>
      </w:r>
      <w:r w:rsidR="003D2F14">
        <w:rPr>
          <w:b/>
          <w:i/>
          <w:lang w:val="en-US"/>
        </w:rPr>
        <w:t xml:space="preserve"> General </w:t>
      </w:r>
      <w:r w:rsidR="00A832E0">
        <w:rPr>
          <w:b/>
          <w:i/>
          <w:lang w:val="en-US"/>
        </w:rPr>
        <w:t xml:space="preserve">completion figures are </w:t>
      </w:r>
      <w:r w:rsidR="003D2F14">
        <w:rPr>
          <w:b/>
          <w:i/>
          <w:lang w:val="en-US"/>
        </w:rPr>
        <w:t>as follows:</w:t>
      </w:r>
    </w:p>
    <w:p w:rsidR="00827B56" w:rsidRPr="00A2062A" w:rsidRDefault="00827B56" w:rsidP="00827B56">
      <w:pPr>
        <w:ind w:left="1080"/>
        <w:rPr>
          <w:lang w:val="en-US"/>
        </w:rPr>
      </w:pPr>
    </w:p>
    <w:tbl>
      <w:tblPr>
        <w:tblW w:w="4236" w:type="dxa"/>
        <w:jc w:val="center"/>
        <w:tblInd w:w="70" w:type="dxa"/>
        <w:tblBorders>
          <w:top w:val="double" w:sz="4" w:space="0" w:color="auto"/>
          <w:bottom w:val="doub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3425"/>
        <w:gridCol w:w="811"/>
      </w:tblGrid>
      <w:tr w:rsidR="00A832E0" w:rsidRPr="00F12E9D" w:rsidTr="00F423BA">
        <w:trPr>
          <w:trHeight w:val="255"/>
          <w:jc w:val="center"/>
        </w:trPr>
        <w:tc>
          <w:tcPr>
            <w:tcW w:w="3425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832E0" w:rsidRPr="00F12E9D" w:rsidRDefault="00A832E0" w:rsidP="00F423BA">
            <w:r w:rsidRPr="00F12E9D">
              <w:lastRenderedPageBreak/>
              <w:t>Total contacted</w:t>
            </w:r>
          </w:p>
        </w:tc>
        <w:tc>
          <w:tcPr>
            <w:tcW w:w="811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2E0" w:rsidRPr="00F12E9D" w:rsidRDefault="00A832E0" w:rsidP="00F423BA">
            <w:pPr>
              <w:jc w:val="right"/>
            </w:pPr>
            <w:r>
              <w:t>6.</w:t>
            </w:r>
            <w:r w:rsidRPr="00F12E9D">
              <w:t>353</w:t>
            </w:r>
          </w:p>
        </w:tc>
      </w:tr>
      <w:tr w:rsidR="00A832E0" w:rsidRPr="00F12E9D" w:rsidTr="00F423BA">
        <w:trPr>
          <w:trHeight w:val="255"/>
          <w:jc w:val="center"/>
        </w:trPr>
        <w:tc>
          <w:tcPr>
            <w:tcW w:w="342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2E0" w:rsidRPr="00F12E9D" w:rsidRDefault="00A832E0" w:rsidP="00F423BA">
            <w:r w:rsidRPr="00F12E9D">
              <w:t>Wrong address</w:t>
            </w:r>
          </w:p>
        </w:tc>
        <w:tc>
          <w:tcPr>
            <w:tcW w:w="81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2E0" w:rsidRPr="00F12E9D" w:rsidRDefault="00A832E0" w:rsidP="00F423BA">
            <w:pPr>
              <w:jc w:val="right"/>
            </w:pPr>
            <w:r w:rsidRPr="00F12E9D">
              <w:t>-86</w:t>
            </w:r>
          </w:p>
        </w:tc>
      </w:tr>
      <w:tr w:rsidR="00A832E0" w:rsidRPr="00F12E9D" w:rsidTr="00F423BA">
        <w:trPr>
          <w:trHeight w:val="255"/>
          <w:jc w:val="center"/>
        </w:trPr>
        <w:tc>
          <w:tcPr>
            <w:tcW w:w="3425" w:type="dxa"/>
            <w:shd w:val="clear" w:color="auto" w:fill="auto"/>
            <w:noWrap/>
            <w:vAlign w:val="bottom"/>
            <w:hideMark/>
          </w:tcPr>
          <w:p w:rsidR="00A832E0" w:rsidRPr="00F12E9D" w:rsidRDefault="00A832E0" w:rsidP="00F423BA">
            <w:r w:rsidRPr="00F12E9D">
              <w:t>Refusal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A832E0" w:rsidRPr="00F12E9D" w:rsidRDefault="00A832E0" w:rsidP="00F423BA">
            <w:pPr>
              <w:jc w:val="right"/>
            </w:pPr>
            <w:r w:rsidRPr="00F12E9D">
              <w:t>-922</w:t>
            </w:r>
          </w:p>
        </w:tc>
      </w:tr>
      <w:tr w:rsidR="00A832E0" w:rsidRPr="00F12E9D" w:rsidTr="00F423BA">
        <w:trPr>
          <w:trHeight w:val="255"/>
          <w:jc w:val="center"/>
        </w:trPr>
        <w:tc>
          <w:tcPr>
            <w:tcW w:w="3425" w:type="dxa"/>
            <w:shd w:val="clear" w:color="auto" w:fill="auto"/>
            <w:noWrap/>
            <w:vAlign w:val="bottom"/>
            <w:hideMark/>
          </w:tcPr>
          <w:p w:rsidR="00A832E0" w:rsidRPr="00F12E9D" w:rsidRDefault="00A832E0" w:rsidP="00F423BA">
            <w:r w:rsidRPr="00F12E9D">
              <w:t>Temporary absence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A832E0" w:rsidRPr="00F12E9D" w:rsidRDefault="00A832E0" w:rsidP="00F423BA">
            <w:pPr>
              <w:jc w:val="right"/>
            </w:pPr>
            <w:r w:rsidRPr="00F12E9D">
              <w:t>-100</w:t>
            </w:r>
          </w:p>
        </w:tc>
      </w:tr>
      <w:tr w:rsidR="00A832E0" w:rsidRPr="00F12E9D" w:rsidTr="00F423BA">
        <w:trPr>
          <w:trHeight w:val="255"/>
          <w:jc w:val="center"/>
        </w:trPr>
        <w:tc>
          <w:tcPr>
            <w:tcW w:w="3425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A832E0" w:rsidRPr="00F12E9D" w:rsidRDefault="00A832E0" w:rsidP="00F423BA">
            <w:r w:rsidRPr="00F12E9D">
              <w:t>Permanent absence</w:t>
            </w:r>
          </w:p>
        </w:tc>
        <w:tc>
          <w:tcPr>
            <w:tcW w:w="811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A832E0" w:rsidRPr="00F12E9D" w:rsidRDefault="00A832E0" w:rsidP="00F423BA">
            <w:pPr>
              <w:jc w:val="right"/>
            </w:pPr>
            <w:r w:rsidRPr="00F12E9D">
              <w:t>-</w:t>
            </w:r>
            <w:r>
              <w:t>1.</w:t>
            </w:r>
            <w:r w:rsidRPr="00F12E9D">
              <w:t>705</w:t>
            </w:r>
          </w:p>
        </w:tc>
      </w:tr>
      <w:tr w:rsidR="00A832E0" w:rsidRPr="00F12E9D" w:rsidTr="00F423BA">
        <w:trPr>
          <w:trHeight w:val="255"/>
          <w:jc w:val="center"/>
        </w:trPr>
        <w:tc>
          <w:tcPr>
            <w:tcW w:w="3425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2E0" w:rsidRPr="00F12E9D" w:rsidRDefault="00A832E0" w:rsidP="00F423BA">
            <w:r w:rsidRPr="00F12E9D">
              <w:t>Other reason</w:t>
            </w:r>
          </w:p>
        </w:tc>
        <w:tc>
          <w:tcPr>
            <w:tcW w:w="811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2E0" w:rsidRPr="00F12E9D" w:rsidRDefault="00A832E0" w:rsidP="00F423BA">
            <w:pPr>
              <w:jc w:val="right"/>
            </w:pPr>
            <w:r w:rsidRPr="00F12E9D">
              <w:t>-630</w:t>
            </w:r>
          </w:p>
        </w:tc>
      </w:tr>
      <w:tr w:rsidR="00A832E0" w:rsidRPr="00F12E9D" w:rsidTr="00F423BA">
        <w:trPr>
          <w:trHeight w:val="255"/>
          <w:jc w:val="center"/>
        </w:trPr>
        <w:tc>
          <w:tcPr>
            <w:tcW w:w="3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2E0" w:rsidRPr="00F12E9D" w:rsidRDefault="00A832E0" w:rsidP="00F423BA">
            <w:r w:rsidRPr="00F12E9D">
              <w:t>Non-contct + Non-rersponse</w:t>
            </w:r>
          </w:p>
        </w:tc>
        <w:tc>
          <w:tcPr>
            <w:tcW w:w="8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2E0" w:rsidRPr="00F12E9D" w:rsidRDefault="00A832E0" w:rsidP="00F423BA">
            <w:pPr>
              <w:jc w:val="right"/>
            </w:pPr>
            <w:r w:rsidRPr="00F12E9D">
              <w:t>-</w:t>
            </w:r>
            <w:r>
              <w:t>3.</w:t>
            </w:r>
            <w:r w:rsidRPr="00F12E9D">
              <w:t>443</w:t>
            </w:r>
          </w:p>
        </w:tc>
      </w:tr>
      <w:tr w:rsidR="00A832E0" w:rsidRPr="00F12E9D" w:rsidTr="00F423BA">
        <w:trPr>
          <w:trHeight w:val="255"/>
          <w:jc w:val="center"/>
        </w:trPr>
        <w:tc>
          <w:tcPr>
            <w:tcW w:w="3425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A832E0" w:rsidRPr="00F12E9D" w:rsidRDefault="00A832E0" w:rsidP="00F423BA">
            <w:r w:rsidRPr="00F12E9D">
              <w:t>All interviews</w:t>
            </w:r>
          </w:p>
        </w:tc>
        <w:tc>
          <w:tcPr>
            <w:tcW w:w="811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A832E0" w:rsidRPr="00F12E9D" w:rsidRDefault="00A832E0" w:rsidP="00F423BA">
            <w:pPr>
              <w:jc w:val="right"/>
            </w:pPr>
            <w:r>
              <w:t>2.</w:t>
            </w:r>
            <w:r w:rsidRPr="00F12E9D">
              <w:t>910</w:t>
            </w:r>
          </w:p>
        </w:tc>
      </w:tr>
      <w:tr w:rsidR="00A832E0" w:rsidRPr="00F12E9D" w:rsidTr="00F423BA">
        <w:trPr>
          <w:trHeight w:val="255"/>
          <w:jc w:val="center"/>
        </w:trPr>
        <w:tc>
          <w:tcPr>
            <w:tcW w:w="3425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2E0" w:rsidRPr="00F12E9D" w:rsidRDefault="00A832E0" w:rsidP="00F423BA">
            <w:r w:rsidRPr="00F12E9D">
              <w:t>Ineligible</w:t>
            </w:r>
          </w:p>
        </w:tc>
        <w:tc>
          <w:tcPr>
            <w:tcW w:w="811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2E0" w:rsidRPr="00F12E9D" w:rsidRDefault="00A832E0" w:rsidP="00F423BA">
            <w:pPr>
              <w:jc w:val="right"/>
            </w:pPr>
            <w:r w:rsidRPr="00F12E9D">
              <w:t>-</w:t>
            </w:r>
            <w:r>
              <w:t>1.</w:t>
            </w:r>
            <w:r w:rsidRPr="00F12E9D">
              <w:t>688</w:t>
            </w:r>
          </w:p>
        </w:tc>
      </w:tr>
      <w:tr w:rsidR="00A832E0" w:rsidRPr="00F12E9D" w:rsidTr="00F423BA">
        <w:trPr>
          <w:trHeight w:val="255"/>
          <w:jc w:val="center"/>
        </w:trPr>
        <w:tc>
          <w:tcPr>
            <w:tcW w:w="342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2E0" w:rsidRPr="00F12E9D" w:rsidRDefault="00A832E0" w:rsidP="00F423BA"/>
        </w:tc>
        <w:tc>
          <w:tcPr>
            <w:tcW w:w="81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32E0" w:rsidRPr="00F12E9D" w:rsidRDefault="00A832E0" w:rsidP="00F423BA">
            <w:pPr>
              <w:jc w:val="right"/>
            </w:pPr>
            <w:r>
              <w:t>1.</w:t>
            </w:r>
            <w:r w:rsidRPr="00F12E9D">
              <w:t>222</w:t>
            </w:r>
          </w:p>
        </w:tc>
      </w:tr>
      <w:tr w:rsidR="00A832E0" w:rsidRPr="00F12E9D" w:rsidTr="00F423BA">
        <w:trPr>
          <w:trHeight w:val="270"/>
          <w:jc w:val="center"/>
        </w:trPr>
        <w:tc>
          <w:tcPr>
            <w:tcW w:w="3425" w:type="dxa"/>
            <w:tcBorders>
              <w:bottom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A832E0" w:rsidRPr="00F12E9D" w:rsidRDefault="00A832E0" w:rsidP="00F423BA">
            <w:r w:rsidRPr="00F12E9D">
              <w:t>Rejected by quality check</w:t>
            </w:r>
          </w:p>
        </w:tc>
        <w:tc>
          <w:tcPr>
            <w:tcW w:w="811" w:type="dxa"/>
            <w:tcBorders>
              <w:bottom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A832E0" w:rsidRPr="00F12E9D" w:rsidRDefault="00A832E0" w:rsidP="00F423BA">
            <w:pPr>
              <w:jc w:val="right"/>
            </w:pPr>
            <w:r w:rsidRPr="00F12E9D">
              <w:t>-27</w:t>
            </w:r>
          </w:p>
        </w:tc>
      </w:tr>
      <w:tr w:rsidR="00A832E0" w:rsidRPr="00F12E9D" w:rsidTr="00F423BA">
        <w:trPr>
          <w:trHeight w:val="270"/>
          <w:jc w:val="center"/>
        </w:trPr>
        <w:tc>
          <w:tcPr>
            <w:tcW w:w="3425" w:type="dxa"/>
            <w:tcBorders>
              <w:top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A832E0" w:rsidRPr="00F12E9D" w:rsidRDefault="00A832E0" w:rsidP="00F423BA">
            <w:pPr>
              <w:rPr>
                <w:b/>
                <w:bCs/>
              </w:rPr>
            </w:pPr>
            <w:r w:rsidRPr="00F12E9D">
              <w:rPr>
                <w:b/>
                <w:bCs/>
              </w:rPr>
              <w:t>Valid interviews</w:t>
            </w:r>
          </w:p>
        </w:tc>
        <w:tc>
          <w:tcPr>
            <w:tcW w:w="811" w:type="dxa"/>
            <w:tcBorders>
              <w:top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A832E0" w:rsidRPr="00F12E9D" w:rsidRDefault="00A832E0" w:rsidP="00F423B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  <w:r w:rsidRPr="00F12E9D">
              <w:rPr>
                <w:b/>
                <w:bCs/>
              </w:rPr>
              <w:t>195</w:t>
            </w:r>
          </w:p>
        </w:tc>
      </w:tr>
    </w:tbl>
    <w:p w:rsidR="00827B56" w:rsidRDefault="00827B56" w:rsidP="00827B56">
      <w:pPr>
        <w:ind w:left="1080"/>
        <w:rPr>
          <w:lang w:val="en-US"/>
        </w:rPr>
      </w:pPr>
    </w:p>
    <w:p w:rsidR="00963937" w:rsidRPr="00C424C9" w:rsidRDefault="00963937" w:rsidP="00F57CF7">
      <w:pPr>
        <w:rPr>
          <w:lang w:val="en-US"/>
        </w:rPr>
      </w:pPr>
    </w:p>
    <w:p w:rsidR="00EA669E" w:rsidRPr="00C424C9" w:rsidRDefault="00EA669E" w:rsidP="00EA669E">
      <w:pPr>
        <w:numPr>
          <w:ilvl w:val="0"/>
          <w:numId w:val="1"/>
        </w:numPr>
        <w:rPr>
          <w:b/>
          <w:lang w:val="en-US"/>
        </w:rPr>
      </w:pPr>
      <w:r w:rsidRPr="00C424C9">
        <w:rPr>
          <w:b/>
          <w:lang w:val="en-US"/>
        </w:rPr>
        <w:t>Intervi</w:t>
      </w:r>
      <w:r w:rsidR="006B51CC" w:rsidRPr="00C424C9">
        <w:rPr>
          <w:b/>
          <w:lang w:val="en-US"/>
        </w:rPr>
        <w:t>ew</w:t>
      </w:r>
    </w:p>
    <w:p w:rsidR="006B51CC" w:rsidRPr="00C424C9" w:rsidRDefault="006B51CC" w:rsidP="006B51CC">
      <w:pPr>
        <w:ind w:left="360"/>
        <w:rPr>
          <w:b/>
          <w:lang w:val="en-US"/>
        </w:rPr>
      </w:pPr>
    </w:p>
    <w:p w:rsidR="00EA669E" w:rsidRPr="00C424C9" w:rsidRDefault="00C424C9" w:rsidP="00EA669E">
      <w:pPr>
        <w:numPr>
          <w:ilvl w:val="1"/>
          <w:numId w:val="1"/>
        </w:numPr>
        <w:rPr>
          <w:lang w:val="en-US"/>
        </w:rPr>
      </w:pPr>
      <w:r>
        <w:rPr>
          <w:lang w:val="en-US"/>
        </w:rPr>
        <w:t>Personal interview?</w:t>
      </w:r>
      <w:r w:rsidR="003A6E91">
        <w:rPr>
          <w:lang w:val="en-US"/>
        </w:rPr>
        <w:t xml:space="preserve"> </w:t>
      </w:r>
      <w:r w:rsidR="003A6E91">
        <w:rPr>
          <w:b/>
          <w:lang w:val="en-US"/>
        </w:rPr>
        <w:t>Yes</w:t>
      </w:r>
    </w:p>
    <w:p w:rsidR="002027C5" w:rsidRPr="00C424C9" w:rsidRDefault="00A14FC0" w:rsidP="00A14FC0">
      <w:pPr>
        <w:ind w:left="1080" w:firstLine="336"/>
        <w:rPr>
          <w:lang w:val="en-US"/>
        </w:rPr>
      </w:pPr>
      <w:r w:rsidRPr="00C424C9">
        <w:rPr>
          <w:lang w:val="en-US"/>
        </w:rPr>
        <w:t>IF</w:t>
      </w:r>
      <w:r w:rsidR="00EA669E" w:rsidRPr="00C424C9">
        <w:rPr>
          <w:lang w:val="en-US"/>
        </w:rPr>
        <w:t xml:space="preserve"> </w:t>
      </w:r>
      <w:r w:rsidR="002027C5" w:rsidRPr="00C424C9">
        <w:rPr>
          <w:lang w:val="en-US"/>
        </w:rPr>
        <w:t>YES</w:t>
      </w:r>
      <w:r w:rsidR="00EA669E" w:rsidRPr="00C424C9">
        <w:rPr>
          <w:lang w:val="en-US"/>
        </w:rPr>
        <w:t xml:space="preserve">: </w:t>
      </w:r>
    </w:p>
    <w:p w:rsidR="003A6E91" w:rsidRPr="003A6E91" w:rsidRDefault="00005216" w:rsidP="00A14FC0">
      <w:pPr>
        <w:numPr>
          <w:ilvl w:val="0"/>
          <w:numId w:val="3"/>
        </w:numPr>
        <w:rPr>
          <w:b/>
          <w:lang w:val="en-US"/>
        </w:rPr>
      </w:pPr>
      <w:r>
        <w:rPr>
          <w:b/>
          <w:lang w:val="en-US"/>
        </w:rPr>
        <w:t xml:space="preserve">All </w:t>
      </w:r>
      <w:r w:rsidR="003A6E91" w:rsidRPr="003A6E91">
        <w:rPr>
          <w:b/>
          <w:lang w:val="en-US"/>
        </w:rPr>
        <w:t>interview</w:t>
      </w:r>
      <w:r>
        <w:rPr>
          <w:b/>
          <w:lang w:val="en-US"/>
        </w:rPr>
        <w:t>s</w:t>
      </w:r>
      <w:r w:rsidR="003A6E91" w:rsidRPr="003A6E91">
        <w:rPr>
          <w:b/>
          <w:lang w:val="en-US"/>
        </w:rPr>
        <w:t xml:space="preserve"> </w:t>
      </w:r>
      <w:r>
        <w:rPr>
          <w:b/>
          <w:lang w:val="en-US"/>
        </w:rPr>
        <w:t>conducted f</w:t>
      </w:r>
      <w:r w:rsidRPr="003A6E91">
        <w:rPr>
          <w:b/>
          <w:lang w:val="en-US"/>
        </w:rPr>
        <w:t>ace</w:t>
      </w:r>
      <w:r>
        <w:rPr>
          <w:b/>
          <w:lang w:val="en-US"/>
        </w:rPr>
        <w:t>-</w:t>
      </w:r>
      <w:r w:rsidRPr="003A6E91">
        <w:rPr>
          <w:b/>
          <w:lang w:val="en-US"/>
        </w:rPr>
        <w:t>to</w:t>
      </w:r>
      <w:r>
        <w:rPr>
          <w:b/>
          <w:lang w:val="en-US"/>
        </w:rPr>
        <w:t>-</w:t>
      </w:r>
      <w:r w:rsidRPr="003A6E91">
        <w:rPr>
          <w:b/>
          <w:lang w:val="en-US"/>
        </w:rPr>
        <w:t xml:space="preserve">face </w:t>
      </w:r>
      <w:r w:rsidR="003A6E91" w:rsidRPr="003A6E91">
        <w:rPr>
          <w:b/>
          <w:lang w:val="en-US"/>
        </w:rPr>
        <w:t xml:space="preserve">with printed </w:t>
      </w:r>
      <w:r w:rsidR="003A6E91">
        <w:rPr>
          <w:b/>
          <w:lang w:val="en-US"/>
        </w:rPr>
        <w:t>questionnaire</w:t>
      </w:r>
      <w:r>
        <w:rPr>
          <w:b/>
          <w:lang w:val="en-US"/>
        </w:rPr>
        <w:t xml:space="preserve"> (PAPI)</w:t>
      </w:r>
    </w:p>
    <w:p w:rsidR="00A14FC0" w:rsidRPr="00C424C9" w:rsidRDefault="00A14FC0" w:rsidP="00BA0B01">
      <w:pPr>
        <w:numPr>
          <w:ilvl w:val="0"/>
          <w:numId w:val="3"/>
        </w:numPr>
        <w:rPr>
          <w:lang w:val="en-US"/>
        </w:rPr>
      </w:pPr>
      <w:r w:rsidRPr="00C424C9">
        <w:rPr>
          <w:lang w:val="en-US"/>
        </w:rPr>
        <w:t>Were there also interviewers who speak immigrant or ethnic minority languages?</w:t>
      </w:r>
      <w:r w:rsidR="00BA0B01" w:rsidRPr="00C424C9">
        <w:rPr>
          <w:lang w:val="en-US"/>
        </w:rPr>
        <w:t xml:space="preserve"> </w:t>
      </w:r>
      <w:r w:rsidR="00005216" w:rsidRPr="00005216">
        <w:rPr>
          <w:b/>
          <w:lang w:val="en-US"/>
        </w:rPr>
        <w:t>That was</w:t>
      </w:r>
      <w:r w:rsidR="00005216">
        <w:rPr>
          <w:lang w:val="en-US"/>
        </w:rPr>
        <w:t xml:space="preserve"> </w:t>
      </w:r>
      <w:r w:rsidR="00005216" w:rsidRPr="003A6E91">
        <w:rPr>
          <w:b/>
          <w:lang w:val="en-US"/>
        </w:rPr>
        <w:t xml:space="preserve">not </w:t>
      </w:r>
      <w:r w:rsidR="003A6E91" w:rsidRPr="003A6E91">
        <w:rPr>
          <w:b/>
          <w:lang w:val="en-US"/>
        </w:rPr>
        <w:t>necessary</w:t>
      </w:r>
      <w:r w:rsidR="003A6E91">
        <w:rPr>
          <w:lang w:val="en-US"/>
        </w:rPr>
        <w:t>.</w:t>
      </w:r>
    </w:p>
    <w:p w:rsidR="002027C5" w:rsidRPr="00C424C9" w:rsidRDefault="002027C5" w:rsidP="002027C5">
      <w:pPr>
        <w:rPr>
          <w:lang w:val="en-US"/>
        </w:rPr>
      </w:pPr>
    </w:p>
    <w:p w:rsidR="002027C5" w:rsidRPr="00C424C9" w:rsidRDefault="00DB27B6" w:rsidP="002027C5">
      <w:pPr>
        <w:numPr>
          <w:ilvl w:val="0"/>
          <w:numId w:val="1"/>
        </w:numPr>
        <w:rPr>
          <w:b/>
          <w:lang w:val="en-US"/>
        </w:rPr>
      </w:pPr>
      <w:r w:rsidRPr="00C424C9">
        <w:rPr>
          <w:b/>
          <w:lang w:val="en-US"/>
        </w:rPr>
        <w:t>Additional information</w:t>
      </w:r>
    </w:p>
    <w:p w:rsidR="002B4A50" w:rsidRPr="00C424C9" w:rsidRDefault="002B4A50" w:rsidP="002B4A50">
      <w:pPr>
        <w:ind w:left="708"/>
        <w:rPr>
          <w:lang w:val="en-US"/>
        </w:rPr>
      </w:pPr>
    </w:p>
    <w:sectPr w:rsidR="002B4A50" w:rsidRPr="00C424C9" w:rsidSect="003E6304">
      <w:pgSz w:w="11906" w:h="16838" w:code="9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1C321A"/>
    <w:multiLevelType w:val="hybridMultilevel"/>
    <w:tmpl w:val="E7BC9D48"/>
    <w:lvl w:ilvl="0" w:tplc="387A19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21247C3"/>
    <w:multiLevelType w:val="multilevel"/>
    <w:tmpl w:val="0396DE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37" w:hanging="357"/>
      </w:pPr>
      <w:rPr>
        <w:rFonts w:ascii="Symbol" w:hAnsi="Symbol" w:hint="default"/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Arial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022463E"/>
    <w:multiLevelType w:val="hybridMultilevel"/>
    <w:tmpl w:val="FD38EECA"/>
    <w:lvl w:ilvl="0" w:tplc="0C0A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">
    <w:nsid w:val="460864CE"/>
    <w:multiLevelType w:val="hybridMultilevel"/>
    <w:tmpl w:val="0396DE2E"/>
    <w:lvl w:ilvl="0" w:tplc="2B3AC6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DF66FBF6">
      <w:start w:val="1"/>
      <w:numFmt w:val="bullet"/>
      <w:lvlText w:val=""/>
      <w:lvlJc w:val="left"/>
      <w:pPr>
        <w:tabs>
          <w:tab w:val="num" w:pos="1440"/>
        </w:tabs>
        <w:ind w:left="1437" w:hanging="357"/>
      </w:pPr>
      <w:rPr>
        <w:rFonts w:ascii="Symbol" w:hAnsi="Symbol" w:hint="default"/>
        <w:b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F6E3CF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Arial" w:hint="default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6C07600"/>
    <w:multiLevelType w:val="hybridMultilevel"/>
    <w:tmpl w:val="853CE02E"/>
    <w:lvl w:ilvl="0" w:tplc="2B3AC6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DF66FBF6">
      <w:start w:val="1"/>
      <w:numFmt w:val="bullet"/>
      <w:lvlText w:val=""/>
      <w:lvlJc w:val="left"/>
      <w:pPr>
        <w:tabs>
          <w:tab w:val="num" w:pos="1440"/>
        </w:tabs>
        <w:ind w:left="1437" w:hanging="357"/>
      </w:pPr>
      <w:rPr>
        <w:rFonts w:ascii="Symbol" w:hAnsi="Symbol" w:hint="default"/>
        <w:b/>
      </w:rPr>
    </w:lvl>
    <w:lvl w:ilvl="2" w:tplc="DF66FBF6">
      <w:start w:val="1"/>
      <w:numFmt w:val="bullet"/>
      <w:lvlText w:val=""/>
      <w:lvlJc w:val="left"/>
      <w:pPr>
        <w:tabs>
          <w:tab w:val="num" w:pos="2340"/>
        </w:tabs>
        <w:ind w:left="2337" w:hanging="357"/>
      </w:pPr>
      <w:rPr>
        <w:rFonts w:ascii="Symbol" w:hAnsi="Symbol" w:hint="default"/>
        <w:b/>
      </w:rPr>
    </w:lvl>
    <w:lvl w:ilvl="3" w:tplc="CF6E3CF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Arial" w:hint="default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A2C464D"/>
    <w:multiLevelType w:val="multilevel"/>
    <w:tmpl w:val="60482B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Arial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4683A9E"/>
    <w:multiLevelType w:val="hybridMultilevel"/>
    <w:tmpl w:val="DD92B404"/>
    <w:lvl w:ilvl="0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7">
    <w:nsid w:val="71F62B35"/>
    <w:multiLevelType w:val="hybridMultilevel"/>
    <w:tmpl w:val="9894D87E"/>
    <w:lvl w:ilvl="0" w:tplc="0C0A0001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 w:tplc="387A19A0">
      <w:start w:val="1"/>
      <w:numFmt w:val="decimal"/>
      <w:lvlText w:val="%2."/>
      <w:lvlJc w:val="left"/>
      <w:pPr>
        <w:tabs>
          <w:tab w:val="num" w:pos="2856"/>
        </w:tabs>
        <w:ind w:left="2856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8">
    <w:nsid w:val="76D46688"/>
    <w:multiLevelType w:val="hybridMultilevel"/>
    <w:tmpl w:val="60482BD2"/>
    <w:lvl w:ilvl="0" w:tplc="2B3AC6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F6E3CF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Arial" w:hint="default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0"/>
  </w:num>
  <w:num w:numId="5">
    <w:abstractNumId w:val="6"/>
  </w:num>
  <w:num w:numId="6">
    <w:abstractNumId w:val="5"/>
  </w:num>
  <w:num w:numId="7">
    <w:abstractNumId w:val="3"/>
  </w:num>
  <w:num w:numId="8">
    <w:abstractNumId w:val="1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F47B5"/>
    <w:rsid w:val="0000128C"/>
    <w:rsid w:val="000047F7"/>
    <w:rsid w:val="00004A2F"/>
    <w:rsid w:val="00005216"/>
    <w:rsid w:val="000A0D86"/>
    <w:rsid w:val="00100CB3"/>
    <w:rsid w:val="0018169A"/>
    <w:rsid w:val="001C0DA5"/>
    <w:rsid w:val="001D1D78"/>
    <w:rsid w:val="002027C5"/>
    <w:rsid w:val="002156ED"/>
    <w:rsid w:val="00237691"/>
    <w:rsid w:val="00254AC5"/>
    <w:rsid w:val="00272B72"/>
    <w:rsid w:val="002848E0"/>
    <w:rsid w:val="002B4A50"/>
    <w:rsid w:val="002F47B5"/>
    <w:rsid w:val="003370C4"/>
    <w:rsid w:val="00357677"/>
    <w:rsid w:val="003A2736"/>
    <w:rsid w:val="003A6E91"/>
    <w:rsid w:val="003B27A3"/>
    <w:rsid w:val="003D2F14"/>
    <w:rsid w:val="003E6304"/>
    <w:rsid w:val="00411597"/>
    <w:rsid w:val="004530C8"/>
    <w:rsid w:val="004561DB"/>
    <w:rsid w:val="004820E0"/>
    <w:rsid w:val="004947F5"/>
    <w:rsid w:val="00494D8B"/>
    <w:rsid w:val="004B2F00"/>
    <w:rsid w:val="004C66F7"/>
    <w:rsid w:val="004F6025"/>
    <w:rsid w:val="0053693F"/>
    <w:rsid w:val="005A0A24"/>
    <w:rsid w:val="005C2802"/>
    <w:rsid w:val="005D0EBB"/>
    <w:rsid w:val="005D2205"/>
    <w:rsid w:val="005E2060"/>
    <w:rsid w:val="00634315"/>
    <w:rsid w:val="00636952"/>
    <w:rsid w:val="00654507"/>
    <w:rsid w:val="006621A5"/>
    <w:rsid w:val="006B51CC"/>
    <w:rsid w:val="006C1B23"/>
    <w:rsid w:val="00782049"/>
    <w:rsid w:val="007B29AB"/>
    <w:rsid w:val="007E6758"/>
    <w:rsid w:val="007F49FD"/>
    <w:rsid w:val="00827B56"/>
    <w:rsid w:val="00834048"/>
    <w:rsid w:val="00852443"/>
    <w:rsid w:val="00886027"/>
    <w:rsid w:val="008C03B9"/>
    <w:rsid w:val="008E1E50"/>
    <w:rsid w:val="008E4E74"/>
    <w:rsid w:val="00910EC0"/>
    <w:rsid w:val="00927F11"/>
    <w:rsid w:val="00963937"/>
    <w:rsid w:val="009B5E44"/>
    <w:rsid w:val="009C4FC0"/>
    <w:rsid w:val="009E5587"/>
    <w:rsid w:val="00A14FC0"/>
    <w:rsid w:val="00A2062A"/>
    <w:rsid w:val="00A62853"/>
    <w:rsid w:val="00A826F6"/>
    <w:rsid w:val="00A832E0"/>
    <w:rsid w:val="00A86E42"/>
    <w:rsid w:val="00AF7B39"/>
    <w:rsid w:val="00B0526E"/>
    <w:rsid w:val="00B50528"/>
    <w:rsid w:val="00B72FEF"/>
    <w:rsid w:val="00B8774D"/>
    <w:rsid w:val="00BA0B01"/>
    <w:rsid w:val="00C00714"/>
    <w:rsid w:val="00C37810"/>
    <w:rsid w:val="00C424C9"/>
    <w:rsid w:val="00C549F1"/>
    <w:rsid w:val="00C97B7A"/>
    <w:rsid w:val="00CA1FAD"/>
    <w:rsid w:val="00D205CB"/>
    <w:rsid w:val="00D30980"/>
    <w:rsid w:val="00D8028B"/>
    <w:rsid w:val="00DA2A82"/>
    <w:rsid w:val="00DA4559"/>
    <w:rsid w:val="00DA4F9D"/>
    <w:rsid w:val="00DB27B6"/>
    <w:rsid w:val="00DD231B"/>
    <w:rsid w:val="00E16265"/>
    <w:rsid w:val="00E47FE0"/>
    <w:rsid w:val="00EA669E"/>
    <w:rsid w:val="00ED2190"/>
    <w:rsid w:val="00F12E9D"/>
    <w:rsid w:val="00F370FE"/>
    <w:rsid w:val="00F55BCF"/>
    <w:rsid w:val="00F57CF7"/>
    <w:rsid w:val="00F919D5"/>
    <w:rsid w:val="00F959B1"/>
    <w:rsid w:val="00FD50D1"/>
    <w:rsid w:val="00FE38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0526E"/>
    <w:rPr>
      <w:sz w:val="24"/>
      <w:szCs w:val="24"/>
      <w:lang w:val="es-ES" w:eastAsia="es-E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sid w:val="00FD50D1"/>
    <w:rPr>
      <w:color w:val="0000FF"/>
      <w:u w:val="single"/>
    </w:rPr>
  </w:style>
  <w:style w:type="table" w:styleId="Grilledutableau">
    <w:name w:val="Table Grid"/>
    <w:basedOn w:val="TableauNormal"/>
    <w:rsid w:val="00827B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8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6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13299F-3E26-4ECC-A46D-CA3C95D64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310</Words>
  <Characters>1706</Characters>
  <Application>Microsoft Office Word</Application>
  <DocSecurity>0</DocSecurity>
  <Lines>14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>Universitat Pompeu Fabra</Company>
  <LinksUpToDate>false</LinksUpToDate>
  <CharactersWithSpaces>2012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U39571</dc:creator>
  <cp:lastModifiedBy> </cp:lastModifiedBy>
  <cp:revision>2</cp:revision>
  <cp:lastPrinted>2008-06-19T09:50:00Z</cp:lastPrinted>
  <dcterms:created xsi:type="dcterms:W3CDTF">2012-07-11T11:46:00Z</dcterms:created>
  <dcterms:modified xsi:type="dcterms:W3CDTF">2012-07-11T11:46:00Z</dcterms:modified>
</cp:coreProperties>
</file>