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Urgent Computing for Phreatic Eruption Simulations Using OpenPDAC</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Mattia de’ Michieli Vitturi, Tomaso Esposti Ongaro, Federica Pardini, Federico Brogi, Augusto Neri, Silvia Giansante, Jane Halfhill, Nils Mekelburger</w:t>
      </w:r>
    </w:p>
    <w:p w:rsidR="00000000" w:rsidDel="00000000" w:rsidP="00000000" w:rsidRDefault="00000000" w:rsidRPr="00000000" w14:paraId="00000003">
      <w:pPr>
        <w:spacing w:after="240" w:before="240" w:lineRule="auto"/>
        <w:jc w:val="both"/>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Phreatic eruptions, triggered by the sudden expansion of hydrothermal fluids, pose serious hazards despite their limited precursors and often moderate size. Their rapid onset makes them challenging to forecast in time for effective mitigation. In this context, we present a dedicated urgent computing workflow for rapid simulation of explosive phreatic events, aiming to support early warning systems with physics-based scenario forecasts.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The workflow is built around OpenPDAC, a multiphase flow simulation module based on OpenFOAM, tailored to model the dynamics of volcanic gas-particle explosions and their interaction with complex topography. Each simulation is run in parallel on hundreds to thousands of processors, requiring access to the leading European supercomputing facilities. This is made possible through the EuroHPC infrastructure, which enables rapid resource allocation in response to volcanic crises.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The workflow allows for on-demand HPC execution, fast initialization based on uncertain input parameters (e.g., vent location, released energy), parallel simulation, and automated post-processing to produce hazard maps in near real time (few hours).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This approach has been tested for Vulcano Island and Campi Flegrei (Italy), where recent unrest has emphasized the need for timely, site-specific hazard assessments. The ability to simulate multiple plausible scenarios in parallel enhances the reliability and usefulness of the forecasts for decision-makers.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These developments have been carried out within the EU project ChEESE-2 and the Italian PRIN project HEATED, with the goal of integrating advanced numerical modeling into near real-time hazard assessment workflows.</w:t>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