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D37B0" w14:textId="77777777" w:rsidR="00086CD3" w:rsidRPr="005B2190" w:rsidRDefault="00000000" w:rsidP="00914080">
      <w:pPr>
        <w:pStyle w:val="Pardfaut"/>
        <w:suppressAutoHyphens/>
        <w:spacing w:before="0" w:line="240" w:lineRule="auto"/>
        <w:jc w:val="center"/>
        <w:rPr>
          <w:rFonts w:ascii="Arial" w:hAnsi="Arial" w:cs="Arial"/>
          <w:b/>
          <w:bCs/>
          <w:color w:val="212121"/>
          <w:sz w:val="29"/>
          <w:szCs w:val="29"/>
          <w:u w:color="54198B"/>
        </w:rPr>
      </w:pPr>
      <w:r w:rsidRPr="005B2190">
        <w:rPr>
          <w:rFonts w:ascii="Arial" w:hAnsi="Arial" w:cs="Arial"/>
          <w:b/>
          <w:bCs/>
          <w:color w:val="212121"/>
          <w:sz w:val="29"/>
          <w:szCs w:val="29"/>
          <w:u w:color="54198B"/>
        </w:rPr>
        <w:t xml:space="preserve">International workshop on Volcanic Hazards </w:t>
      </w:r>
    </w:p>
    <w:p w14:paraId="753888E3" w14:textId="77777777" w:rsidR="00086CD3" w:rsidRPr="005B2190" w:rsidRDefault="00000000" w:rsidP="00914080">
      <w:pPr>
        <w:pStyle w:val="Pardfaut"/>
        <w:suppressAutoHyphens/>
        <w:spacing w:before="0" w:line="240" w:lineRule="auto"/>
        <w:jc w:val="center"/>
        <w:rPr>
          <w:rFonts w:ascii="Arial" w:hAnsi="Arial" w:cs="Arial"/>
          <w:b/>
          <w:bCs/>
          <w:color w:val="212121"/>
          <w:sz w:val="29"/>
          <w:szCs w:val="29"/>
          <w:u w:color="54198B"/>
        </w:rPr>
      </w:pPr>
      <w:r w:rsidRPr="005B2190">
        <w:rPr>
          <w:rFonts w:ascii="Arial" w:hAnsi="Arial" w:cs="Arial"/>
          <w:b/>
          <w:bCs/>
          <w:color w:val="212121"/>
          <w:sz w:val="29"/>
          <w:szCs w:val="29"/>
          <w:u w:color="54198B"/>
        </w:rPr>
        <w:t xml:space="preserve">within the context of Early Warning for All </w:t>
      </w:r>
    </w:p>
    <w:p w14:paraId="612E5244" w14:textId="2D1E0F2A" w:rsidR="008F3B7D" w:rsidRPr="005B2190" w:rsidRDefault="00000000" w:rsidP="00914080">
      <w:pPr>
        <w:pStyle w:val="Pardfaut"/>
        <w:suppressAutoHyphens/>
        <w:spacing w:before="0" w:line="240" w:lineRule="auto"/>
        <w:jc w:val="center"/>
        <w:rPr>
          <w:rFonts w:ascii="Arial" w:eastAsia="Helvetica" w:hAnsi="Arial" w:cs="Arial"/>
          <w:b/>
          <w:bCs/>
          <w:color w:val="212121"/>
          <w:sz w:val="29"/>
          <w:szCs w:val="29"/>
          <w:u w:color="54198B"/>
        </w:rPr>
      </w:pPr>
      <w:r w:rsidRPr="005B2190">
        <w:rPr>
          <w:rFonts w:ascii="Arial" w:hAnsi="Arial" w:cs="Arial"/>
          <w:b/>
          <w:bCs/>
          <w:color w:val="212121"/>
          <w:sz w:val="29"/>
          <w:szCs w:val="29"/>
          <w:u w:color="54198B"/>
        </w:rPr>
        <w:t>(7-9 July 2025, Geneva, Switzerland)</w:t>
      </w:r>
    </w:p>
    <w:p w14:paraId="4916EF84" w14:textId="77777777" w:rsidR="008F3B7D" w:rsidRPr="005B2190" w:rsidRDefault="008F3B7D">
      <w:pPr>
        <w:pStyle w:val="Pardfaut"/>
        <w:suppressAutoHyphens/>
        <w:spacing w:before="0" w:line="240" w:lineRule="auto"/>
        <w:rPr>
          <w:rFonts w:ascii="Arial" w:eastAsia="Helvetica" w:hAnsi="Arial" w:cs="Arial"/>
          <w:b/>
          <w:bCs/>
          <w:color w:val="212121"/>
          <w:sz w:val="29"/>
          <w:szCs w:val="29"/>
          <w:u w:color="54198B"/>
        </w:rPr>
      </w:pPr>
    </w:p>
    <w:p w14:paraId="7165F5A6" w14:textId="77777777" w:rsidR="008F3B7D" w:rsidRPr="005B2190" w:rsidRDefault="008F3B7D">
      <w:pPr>
        <w:pStyle w:val="Pardfaut"/>
        <w:suppressAutoHyphens/>
        <w:spacing w:before="0" w:line="240" w:lineRule="auto"/>
        <w:rPr>
          <w:rFonts w:ascii="Arial" w:eastAsia="Helvetica" w:hAnsi="Arial" w:cs="Arial"/>
          <w:color w:val="551A8B"/>
          <w:sz w:val="29"/>
          <w:szCs w:val="29"/>
          <w:u w:val="single" w:color="54198B"/>
        </w:rPr>
      </w:pPr>
    </w:p>
    <w:p w14:paraId="6F8DC34F" w14:textId="77777777" w:rsidR="008F3B7D" w:rsidRPr="005B2190" w:rsidRDefault="00000000">
      <w:pPr>
        <w:pStyle w:val="Pardfaut"/>
        <w:suppressAutoHyphens/>
        <w:spacing w:before="0" w:line="240" w:lineRule="auto"/>
        <w:jc w:val="center"/>
        <w:rPr>
          <w:rFonts w:ascii="Arial" w:hAnsi="Arial" w:cs="Arial"/>
          <w:b/>
          <w:bCs/>
          <w:color w:val="212121"/>
          <w:sz w:val="32"/>
          <w:szCs w:val="32"/>
        </w:rPr>
      </w:pPr>
      <w:r w:rsidRPr="005B2190">
        <w:rPr>
          <w:rFonts w:ascii="Arial" w:hAnsi="Arial" w:cs="Arial"/>
          <w:b/>
          <w:bCs/>
          <w:color w:val="212121"/>
          <w:sz w:val="32"/>
          <w:szCs w:val="32"/>
        </w:rPr>
        <w:t>Advance in tsunami early warning system for volcanic sources in the Caribbean and adjacent regions</w:t>
      </w:r>
    </w:p>
    <w:p w14:paraId="2C8A9E05" w14:textId="77777777" w:rsidR="008F3B7D" w:rsidRPr="005B2190" w:rsidRDefault="008F3B7D">
      <w:pPr>
        <w:pStyle w:val="Pardfaut"/>
        <w:suppressAutoHyphens/>
        <w:spacing w:before="0" w:line="240" w:lineRule="auto"/>
        <w:rPr>
          <w:rFonts w:ascii="Arial" w:hAnsi="Arial" w:cs="Arial"/>
          <w:color w:val="212121"/>
          <w:sz w:val="30"/>
          <w:szCs w:val="30"/>
        </w:rPr>
      </w:pPr>
    </w:p>
    <w:p w14:paraId="5CDCE415" w14:textId="34840217" w:rsidR="008F3B7D" w:rsidRPr="005B2190" w:rsidRDefault="00000000" w:rsidP="00E83774">
      <w:pPr>
        <w:pStyle w:val="Pardfaut"/>
        <w:widowControl w:val="0"/>
        <w:spacing w:before="0" w:line="283" w:lineRule="auto"/>
        <w:ind w:right="147"/>
        <w:jc w:val="both"/>
        <w:rPr>
          <w:rFonts w:ascii="Arial" w:hAnsi="Arial" w:cs="Arial"/>
          <w:u w:color="000000"/>
        </w:rPr>
      </w:pPr>
      <w:r w:rsidRPr="005B2190">
        <w:rPr>
          <w:rFonts w:ascii="Arial" w:hAnsi="Arial" w:cs="Arial"/>
          <w:u w:color="000000"/>
        </w:rPr>
        <w:t>Valerie Clouard</w:t>
      </w:r>
      <w:r w:rsidR="00914080" w:rsidRPr="005B2190">
        <w:rPr>
          <w:rFonts w:ascii="Arial" w:hAnsi="Arial" w:cs="Arial"/>
          <w:u w:color="000000"/>
          <w:vertAlign w:val="superscript"/>
        </w:rPr>
        <w:t>1</w:t>
      </w:r>
      <w:r w:rsidRPr="005B2190">
        <w:rPr>
          <w:rFonts w:ascii="Arial" w:hAnsi="Arial" w:cs="Arial"/>
          <w:u w:color="000000"/>
        </w:rPr>
        <w:t>, Christa von Hillebrand</w:t>
      </w:r>
      <w:r w:rsidR="00E10306" w:rsidRPr="005B2190">
        <w:rPr>
          <w:rFonts w:ascii="Arial" w:hAnsi="Arial" w:cs="Arial"/>
          <w:u w:color="000000"/>
        </w:rPr>
        <w:t>t</w:t>
      </w:r>
      <w:r w:rsidRPr="005B2190">
        <w:rPr>
          <w:rFonts w:ascii="Arial" w:hAnsi="Arial" w:cs="Arial"/>
          <w:u w:color="000000"/>
        </w:rPr>
        <w:t>-Andrade</w:t>
      </w:r>
      <w:r w:rsidR="00914080" w:rsidRPr="005B2190">
        <w:rPr>
          <w:rFonts w:ascii="Arial" w:hAnsi="Arial" w:cs="Arial"/>
          <w:u w:color="000000"/>
          <w:vertAlign w:val="superscript"/>
        </w:rPr>
        <w:t>2</w:t>
      </w:r>
      <w:r w:rsidRPr="005B2190">
        <w:rPr>
          <w:rFonts w:ascii="Arial" w:hAnsi="Arial" w:cs="Arial"/>
          <w:u w:color="000000"/>
        </w:rPr>
        <w:t>, Charles McCreery</w:t>
      </w:r>
      <w:r w:rsidR="00914080" w:rsidRPr="005B2190">
        <w:rPr>
          <w:rFonts w:ascii="Arial" w:hAnsi="Arial" w:cs="Arial"/>
          <w:u w:color="000000"/>
          <w:vertAlign w:val="superscript"/>
        </w:rPr>
        <w:t>3</w:t>
      </w:r>
      <w:r w:rsidRPr="005B2190">
        <w:rPr>
          <w:rFonts w:ascii="Arial" w:hAnsi="Arial" w:cs="Arial"/>
          <w:u w:color="000000"/>
        </w:rPr>
        <w:t xml:space="preserve">, </w:t>
      </w:r>
      <w:proofErr w:type="spellStart"/>
      <w:r w:rsidRPr="005B2190">
        <w:rPr>
          <w:rFonts w:ascii="Arial" w:hAnsi="Arial" w:cs="Arial"/>
          <w:u w:color="000000"/>
        </w:rPr>
        <w:t>Erouscilla</w:t>
      </w:r>
      <w:proofErr w:type="spellEnd"/>
      <w:r w:rsidRPr="005B2190">
        <w:rPr>
          <w:rFonts w:ascii="Arial" w:hAnsi="Arial" w:cs="Arial"/>
          <w:u w:color="000000"/>
        </w:rPr>
        <w:t xml:space="preserve"> Joseph</w:t>
      </w:r>
      <w:r w:rsidR="00914080" w:rsidRPr="005B2190">
        <w:rPr>
          <w:rFonts w:ascii="Arial" w:hAnsi="Arial" w:cs="Arial"/>
          <w:u w:color="000000"/>
          <w:vertAlign w:val="superscript"/>
        </w:rPr>
        <w:t>4</w:t>
      </w:r>
      <w:r w:rsidRPr="005B2190">
        <w:rPr>
          <w:rFonts w:ascii="Arial" w:hAnsi="Arial" w:cs="Arial"/>
          <w:u w:color="000000"/>
        </w:rPr>
        <w:t>, Raphael Paris</w:t>
      </w:r>
      <w:r w:rsidR="00914080" w:rsidRPr="005B2190">
        <w:rPr>
          <w:rFonts w:ascii="Arial" w:hAnsi="Arial" w:cs="Arial"/>
          <w:u w:color="000000"/>
          <w:vertAlign w:val="superscript"/>
        </w:rPr>
        <w:t>5</w:t>
      </w:r>
      <w:r w:rsidR="00914080" w:rsidRPr="005B2190">
        <w:rPr>
          <w:rFonts w:ascii="Arial" w:hAnsi="Arial" w:cs="Arial"/>
          <w:u w:color="000000"/>
        </w:rPr>
        <w:t xml:space="preserve">, </w:t>
      </w:r>
      <w:r w:rsidRPr="005B2190">
        <w:rPr>
          <w:rFonts w:ascii="Arial" w:hAnsi="Arial" w:cs="Arial"/>
          <w:u w:color="000000"/>
        </w:rPr>
        <w:t>Laura Kong</w:t>
      </w:r>
      <w:r w:rsidR="00914080" w:rsidRPr="005B2190">
        <w:rPr>
          <w:rFonts w:ascii="Arial" w:hAnsi="Arial" w:cs="Arial"/>
          <w:u w:color="000000"/>
          <w:vertAlign w:val="superscript"/>
        </w:rPr>
        <w:t>6</w:t>
      </w:r>
      <w:r w:rsidR="00914080" w:rsidRPr="005B2190">
        <w:rPr>
          <w:rFonts w:ascii="Arial" w:hAnsi="Arial" w:cs="Arial"/>
          <w:u w:color="000000"/>
        </w:rPr>
        <w:t xml:space="preserve"> and </w:t>
      </w:r>
      <w:r w:rsidR="00962AB7" w:rsidRPr="005B2190">
        <w:rPr>
          <w:rFonts w:ascii="Arial" w:hAnsi="Arial" w:cs="Arial"/>
          <w:u w:color="000000"/>
        </w:rPr>
        <w:t>Ocal Necmioglu</w:t>
      </w:r>
      <w:r w:rsidR="00914080" w:rsidRPr="005B2190">
        <w:rPr>
          <w:rFonts w:ascii="Arial" w:hAnsi="Arial" w:cs="Arial"/>
          <w:u w:color="000000"/>
          <w:vertAlign w:val="superscript"/>
        </w:rPr>
        <w:t>7</w:t>
      </w:r>
    </w:p>
    <w:p w14:paraId="41AD61DF" w14:textId="77777777" w:rsidR="00E10306" w:rsidRPr="005B2190" w:rsidRDefault="00E10306" w:rsidP="000D562B">
      <w:pPr>
        <w:pStyle w:val="Pardfaut"/>
        <w:widowControl w:val="0"/>
        <w:spacing w:before="0" w:line="283" w:lineRule="auto"/>
        <w:ind w:right="147"/>
        <w:jc w:val="both"/>
        <w:rPr>
          <w:rFonts w:ascii="Arial" w:hAnsi="Arial" w:cs="Arial"/>
          <w:u w:color="000000"/>
        </w:rPr>
      </w:pPr>
    </w:p>
    <w:p w14:paraId="418FEFD7" w14:textId="57F7DDED" w:rsidR="00E10306" w:rsidRPr="005B2190" w:rsidRDefault="00E10306" w:rsidP="00086CD3">
      <w:pPr>
        <w:pStyle w:val="Pardfaut"/>
        <w:widowControl w:val="0"/>
        <w:spacing w:before="0" w:line="283" w:lineRule="auto"/>
        <w:ind w:right="147"/>
        <w:jc w:val="both"/>
        <w:rPr>
          <w:rFonts w:ascii="Arial" w:hAnsi="Arial" w:cs="Arial"/>
          <w:sz w:val="20"/>
          <w:szCs w:val="20"/>
          <w:u w:color="000000"/>
        </w:rPr>
      </w:pPr>
      <w:r w:rsidRPr="005B2190">
        <w:rPr>
          <w:rFonts w:ascii="Arial" w:hAnsi="Arial" w:cs="Arial"/>
          <w:sz w:val="20"/>
          <w:szCs w:val="20"/>
          <w:u w:color="000000"/>
        </w:rPr>
        <w:t xml:space="preserve">1 </w:t>
      </w:r>
      <w:proofErr w:type="spellStart"/>
      <w:r w:rsidRPr="005B2190">
        <w:rPr>
          <w:rFonts w:ascii="Arial" w:hAnsi="Arial" w:cs="Arial"/>
          <w:sz w:val="20"/>
          <w:szCs w:val="20"/>
          <w:u w:color="000000"/>
        </w:rPr>
        <w:t>Géosciences</w:t>
      </w:r>
      <w:proofErr w:type="spellEnd"/>
      <w:r w:rsidRPr="005B2190">
        <w:rPr>
          <w:rFonts w:ascii="Arial" w:hAnsi="Arial" w:cs="Arial"/>
          <w:sz w:val="20"/>
          <w:szCs w:val="20"/>
          <w:u w:color="000000"/>
        </w:rPr>
        <w:t xml:space="preserve"> </w:t>
      </w:r>
      <w:proofErr w:type="spellStart"/>
      <w:r w:rsidRPr="005B2190">
        <w:rPr>
          <w:rFonts w:ascii="Arial" w:hAnsi="Arial" w:cs="Arial"/>
          <w:sz w:val="20"/>
          <w:szCs w:val="20"/>
          <w:u w:color="000000"/>
        </w:rPr>
        <w:t>Environnement</w:t>
      </w:r>
      <w:proofErr w:type="spellEnd"/>
      <w:r w:rsidRPr="005B2190">
        <w:rPr>
          <w:rFonts w:ascii="Arial" w:hAnsi="Arial" w:cs="Arial"/>
          <w:sz w:val="20"/>
          <w:szCs w:val="20"/>
          <w:u w:color="000000"/>
        </w:rPr>
        <w:t xml:space="preserve"> Toulouse, </w:t>
      </w:r>
      <w:proofErr w:type="spellStart"/>
      <w:r w:rsidRPr="005B2190">
        <w:rPr>
          <w:rFonts w:ascii="Arial" w:hAnsi="Arial" w:cs="Arial"/>
          <w:sz w:val="20"/>
          <w:szCs w:val="20"/>
          <w:u w:color="000000"/>
        </w:rPr>
        <w:t>Universite</w:t>
      </w:r>
      <w:proofErr w:type="spellEnd"/>
      <w:r w:rsidRPr="005B2190">
        <w:rPr>
          <w:rFonts w:ascii="Arial" w:hAnsi="Arial" w:cs="Arial"/>
          <w:sz w:val="20"/>
          <w:szCs w:val="20"/>
          <w:u w:color="000000"/>
        </w:rPr>
        <w:t xml:space="preserve"> Paul Sabatier, Toulouse, France</w:t>
      </w:r>
    </w:p>
    <w:p w14:paraId="1FDCC542" w14:textId="429D3B96" w:rsidR="00E10306" w:rsidRPr="005B2190" w:rsidRDefault="00E10306" w:rsidP="00086CD3">
      <w:pPr>
        <w:pStyle w:val="Pardfaut"/>
        <w:widowControl w:val="0"/>
        <w:spacing w:before="0" w:line="283" w:lineRule="auto"/>
        <w:ind w:right="147"/>
        <w:jc w:val="both"/>
        <w:rPr>
          <w:rFonts w:ascii="Arial" w:hAnsi="Arial" w:cs="Arial"/>
          <w:sz w:val="20"/>
          <w:szCs w:val="20"/>
          <w:u w:color="000000"/>
        </w:rPr>
      </w:pPr>
      <w:r w:rsidRPr="005B2190">
        <w:rPr>
          <w:rFonts w:ascii="Arial" w:hAnsi="Arial" w:cs="Arial"/>
          <w:sz w:val="20"/>
          <w:szCs w:val="20"/>
          <w:u w:color="000000"/>
        </w:rPr>
        <w:t>2 UNESCO</w:t>
      </w:r>
      <w:r w:rsidR="00086CD3" w:rsidRPr="005B2190">
        <w:rPr>
          <w:rFonts w:ascii="Arial" w:hAnsi="Arial" w:cs="Arial"/>
          <w:sz w:val="20"/>
          <w:szCs w:val="20"/>
          <w:u w:color="000000"/>
        </w:rPr>
        <w:t>-</w:t>
      </w:r>
      <w:r w:rsidRPr="005B2190">
        <w:rPr>
          <w:rFonts w:ascii="Arial" w:hAnsi="Arial" w:cs="Arial"/>
          <w:sz w:val="20"/>
          <w:szCs w:val="20"/>
          <w:u w:color="000000"/>
        </w:rPr>
        <w:t xml:space="preserve">IOC NOAA International Tsunami Information </w:t>
      </w:r>
      <w:proofErr w:type="spellStart"/>
      <w:r w:rsidRPr="005B2190">
        <w:rPr>
          <w:rFonts w:ascii="Arial" w:hAnsi="Arial" w:cs="Arial"/>
          <w:sz w:val="20"/>
          <w:szCs w:val="20"/>
          <w:u w:color="000000"/>
        </w:rPr>
        <w:t>Center</w:t>
      </w:r>
      <w:proofErr w:type="spellEnd"/>
      <w:r w:rsidRPr="005B2190">
        <w:rPr>
          <w:rFonts w:ascii="Arial" w:hAnsi="Arial" w:cs="Arial"/>
          <w:sz w:val="20"/>
          <w:szCs w:val="20"/>
          <w:u w:color="000000"/>
        </w:rPr>
        <w:t xml:space="preserve"> Caribbean Office, Mayaguez, Puerto Rico-USA</w:t>
      </w:r>
    </w:p>
    <w:p w14:paraId="473FCEFA" w14:textId="15898C4F" w:rsidR="007D4A0A" w:rsidRPr="005B2190" w:rsidRDefault="007D4A0A" w:rsidP="00086CD3">
      <w:pPr>
        <w:pStyle w:val="Pardfaut"/>
        <w:widowControl w:val="0"/>
        <w:spacing w:before="0" w:line="283" w:lineRule="auto"/>
        <w:ind w:right="147"/>
        <w:jc w:val="both"/>
        <w:rPr>
          <w:rFonts w:ascii="Arial" w:hAnsi="Arial" w:cs="Arial"/>
          <w:sz w:val="20"/>
          <w:szCs w:val="20"/>
          <w:u w:color="000000"/>
        </w:rPr>
      </w:pPr>
      <w:r w:rsidRPr="005B2190">
        <w:rPr>
          <w:rFonts w:ascii="Arial" w:hAnsi="Arial" w:cs="Arial"/>
          <w:sz w:val="20"/>
          <w:szCs w:val="20"/>
          <w:u w:color="000000"/>
        </w:rPr>
        <w:t xml:space="preserve">3 Pacific Tsunami Warning </w:t>
      </w:r>
      <w:proofErr w:type="spellStart"/>
      <w:r w:rsidRPr="005B2190">
        <w:rPr>
          <w:rFonts w:ascii="Arial" w:hAnsi="Arial" w:cs="Arial"/>
          <w:sz w:val="20"/>
          <w:szCs w:val="20"/>
          <w:u w:color="000000"/>
        </w:rPr>
        <w:t>Center</w:t>
      </w:r>
      <w:proofErr w:type="spellEnd"/>
      <w:r w:rsidRPr="005B2190">
        <w:rPr>
          <w:rFonts w:ascii="Arial" w:hAnsi="Arial" w:cs="Arial"/>
          <w:sz w:val="20"/>
          <w:szCs w:val="20"/>
          <w:u w:color="000000"/>
        </w:rPr>
        <w:t>, Honolulu, USA</w:t>
      </w:r>
    </w:p>
    <w:p w14:paraId="6404DEC2" w14:textId="4BE2DB9C" w:rsidR="00086CD3" w:rsidRPr="005B2190" w:rsidRDefault="00086CD3" w:rsidP="00086CD3">
      <w:pPr>
        <w:pStyle w:val="Pardfaut"/>
        <w:widowControl w:val="0"/>
        <w:spacing w:before="0" w:line="283" w:lineRule="auto"/>
        <w:ind w:right="147"/>
        <w:jc w:val="both"/>
        <w:rPr>
          <w:rFonts w:ascii="Arial" w:hAnsi="Arial" w:cs="Arial"/>
          <w:sz w:val="20"/>
          <w:szCs w:val="20"/>
          <w:u w:color="000000"/>
        </w:rPr>
      </w:pPr>
      <w:r w:rsidRPr="005B2190">
        <w:rPr>
          <w:rFonts w:ascii="Arial" w:hAnsi="Arial" w:cs="Arial"/>
          <w:sz w:val="20"/>
          <w:szCs w:val="20"/>
          <w:u w:color="000000"/>
        </w:rPr>
        <w:t xml:space="preserve">4 The University of the West Indies, </w:t>
      </w:r>
      <w:r w:rsidR="00BA2245" w:rsidRPr="005B2190">
        <w:rPr>
          <w:rFonts w:ascii="Arial" w:hAnsi="Arial" w:cs="Arial"/>
          <w:sz w:val="20"/>
          <w:szCs w:val="20"/>
          <w:u w:color="000000"/>
        </w:rPr>
        <w:t>Seismic Research Centre</w:t>
      </w:r>
      <w:r w:rsidRPr="005B2190">
        <w:rPr>
          <w:rFonts w:ascii="Arial" w:hAnsi="Arial" w:cs="Arial"/>
          <w:sz w:val="20"/>
          <w:szCs w:val="20"/>
          <w:u w:color="000000"/>
        </w:rPr>
        <w:t>, St. Augustine, Trinidad and Tobago</w:t>
      </w:r>
    </w:p>
    <w:p w14:paraId="6ECAA915" w14:textId="4CE40310" w:rsidR="00086CD3" w:rsidRPr="005B2190" w:rsidRDefault="00086CD3" w:rsidP="00086CD3">
      <w:pPr>
        <w:pStyle w:val="Pardfaut"/>
        <w:widowControl w:val="0"/>
        <w:spacing w:before="0" w:line="283" w:lineRule="auto"/>
        <w:ind w:right="147"/>
        <w:jc w:val="both"/>
        <w:rPr>
          <w:rFonts w:ascii="Arial" w:hAnsi="Arial" w:cs="Arial"/>
          <w:sz w:val="20"/>
          <w:szCs w:val="20"/>
          <w:u w:color="000000"/>
        </w:rPr>
      </w:pPr>
      <w:r w:rsidRPr="005B2190">
        <w:rPr>
          <w:rFonts w:ascii="Arial" w:hAnsi="Arial" w:cs="Arial"/>
          <w:sz w:val="20"/>
          <w:szCs w:val="20"/>
          <w:u w:color="000000"/>
        </w:rPr>
        <w:t xml:space="preserve">5 CNRS - Université Clermont-Auvergne, </w:t>
      </w:r>
      <w:proofErr w:type="spellStart"/>
      <w:r w:rsidRPr="005B2190">
        <w:rPr>
          <w:rFonts w:ascii="Arial" w:hAnsi="Arial" w:cs="Arial"/>
          <w:sz w:val="20"/>
          <w:szCs w:val="20"/>
          <w:u w:color="000000"/>
        </w:rPr>
        <w:t>Aubiere</w:t>
      </w:r>
      <w:proofErr w:type="spellEnd"/>
      <w:r w:rsidRPr="005B2190">
        <w:rPr>
          <w:rFonts w:ascii="Arial" w:hAnsi="Arial" w:cs="Arial"/>
          <w:sz w:val="20"/>
          <w:szCs w:val="20"/>
          <w:u w:color="000000"/>
        </w:rPr>
        <w:t>, France</w:t>
      </w:r>
    </w:p>
    <w:p w14:paraId="339F8128" w14:textId="18F6DE6C" w:rsidR="00E10306" w:rsidRPr="005B2190" w:rsidRDefault="00086CD3" w:rsidP="00086CD3">
      <w:pPr>
        <w:pStyle w:val="Pardfaut"/>
        <w:widowControl w:val="0"/>
        <w:spacing w:before="0" w:line="283" w:lineRule="auto"/>
        <w:ind w:right="147"/>
        <w:jc w:val="both"/>
        <w:rPr>
          <w:rFonts w:ascii="Arial" w:hAnsi="Arial" w:cs="Arial"/>
          <w:sz w:val="20"/>
          <w:szCs w:val="20"/>
          <w:u w:color="000000"/>
        </w:rPr>
      </w:pPr>
      <w:r w:rsidRPr="005B2190">
        <w:rPr>
          <w:rFonts w:ascii="Arial" w:hAnsi="Arial" w:cs="Arial"/>
          <w:sz w:val="20"/>
          <w:szCs w:val="20"/>
          <w:u w:color="000000"/>
        </w:rPr>
        <w:t xml:space="preserve">6 UNESCO-IOC NOAA International Tsunami Information </w:t>
      </w:r>
      <w:proofErr w:type="spellStart"/>
      <w:r w:rsidRPr="005B2190">
        <w:rPr>
          <w:rFonts w:ascii="Arial" w:hAnsi="Arial" w:cs="Arial"/>
          <w:sz w:val="20"/>
          <w:szCs w:val="20"/>
          <w:u w:color="000000"/>
        </w:rPr>
        <w:t>Center</w:t>
      </w:r>
      <w:proofErr w:type="spellEnd"/>
      <w:r w:rsidRPr="005B2190">
        <w:rPr>
          <w:rFonts w:ascii="Arial" w:hAnsi="Arial" w:cs="Arial"/>
          <w:sz w:val="20"/>
          <w:szCs w:val="20"/>
          <w:u w:color="000000"/>
        </w:rPr>
        <w:t>, Honolulu, USA</w:t>
      </w:r>
    </w:p>
    <w:p w14:paraId="416A9F24" w14:textId="685AC86B" w:rsidR="00086CD3" w:rsidRPr="005B2190" w:rsidRDefault="00086CD3" w:rsidP="00086CD3">
      <w:pPr>
        <w:pStyle w:val="Pardfaut"/>
        <w:widowControl w:val="0"/>
        <w:spacing w:before="0" w:line="283" w:lineRule="auto"/>
        <w:ind w:right="147"/>
        <w:jc w:val="both"/>
        <w:rPr>
          <w:rFonts w:ascii="Arial" w:hAnsi="Arial" w:cs="Arial"/>
          <w:sz w:val="20"/>
          <w:szCs w:val="20"/>
          <w:u w:color="000000"/>
        </w:rPr>
      </w:pPr>
      <w:r w:rsidRPr="005B2190">
        <w:rPr>
          <w:rFonts w:ascii="Arial" w:hAnsi="Arial" w:cs="Arial"/>
          <w:sz w:val="20"/>
          <w:szCs w:val="20"/>
          <w:u w:color="000000"/>
        </w:rPr>
        <w:t>7 UNESCO-IOC Tsunami Resilience Section, Paris, France</w:t>
      </w:r>
    </w:p>
    <w:p w14:paraId="7480AAE9" w14:textId="462C52CE" w:rsidR="00E10306" w:rsidRPr="005B2190" w:rsidRDefault="00E10306" w:rsidP="000D562B">
      <w:pPr>
        <w:pStyle w:val="Pardfaut"/>
        <w:widowControl w:val="0"/>
        <w:spacing w:before="0" w:line="283" w:lineRule="auto"/>
        <w:ind w:right="147"/>
        <w:jc w:val="both"/>
        <w:rPr>
          <w:rFonts w:ascii="Arial" w:hAnsi="Arial" w:cs="Arial"/>
          <w:u w:color="000000"/>
        </w:rPr>
      </w:pPr>
    </w:p>
    <w:p w14:paraId="1604F806" w14:textId="422D2683" w:rsidR="0077553A" w:rsidRPr="005B2190" w:rsidRDefault="0077553A" w:rsidP="0077553A">
      <w:pPr>
        <w:pStyle w:val="Pardfaut"/>
        <w:widowControl w:val="0"/>
        <w:spacing w:before="0" w:line="283" w:lineRule="auto"/>
        <w:ind w:right="147"/>
        <w:jc w:val="both"/>
        <w:rPr>
          <w:rFonts w:ascii="Arial" w:hAnsi="Arial" w:cs="Arial"/>
          <w:u w:color="000000"/>
        </w:rPr>
      </w:pPr>
      <w:r w:rsidRPr="005B2190">
        <w:rPr>
          <w:rFonts w:ascii="Arial" w:hAnsi="Arial" w:cs="Arial"/>
          <w:u w:color="000000"/>
        </w:rPr>
        <w:t>One of the goals of the UN Decade Ocean Science Tsunami Programme is to ensure that by 2030, actionable notifications are issued for all tsunamis, regardless of their source. While this is already the case for seismic tsunamis, non-seismic sources—such as volcanic eruptions—pose greater challenges due to differences in detection, modelling, and messaging.</w:t>
      </w:r>
    </w:p>
    <w:p w14:paraId="3F65322A" w14:textId="77777777" w:rsidR="0077553A" w:rsidRPr="005B2190" w:rsidRDefault="0077553A" w:rsidP="00E10306">
      <w:pPr>
        <w:pStyle w:val="Pardfaut"/>
        <w:widowControl w:val="0"/>
        <w:spacing w:before="0" w:line="283" w:lineRule="auto"/>
        <w:ind w:right="147"/>
        <w:jc w:val="both"/>
        <w:rPr>
          <w:rFonts w:ascii="Arial" w:hAnsi="Arial" w:cs="Arial"/>
          <w:u w:color="000000"/>
        </w:rPr>
      </w:pPr>
    </w:p>
    <w:p w14:paraId="21BF8187" w14:textId="29C16F49" w:rsidR="0077553A" w:rsidRPr="005B2190" w:rsidRDefault="0077553A" w:rsidP="0077553A">
      <w:pPr>
        <w:pStyle w:val="Pardfaut"/>
        <w:widowControl w:val="0"/>
        <w:spacing w:before="0" w:line="283" w:lineRule="auto"/>
        <w:ind w:right="147"/>
        <w:jc w:val="both"/>
        <w:rPr>
          <w:rFonts w:ascii="Arial" w:hAnsi="Arial" w:cs="Arial"/>
          <w:u w:color="000000"/>
        </w:rPr>
      </w:pPr>
      <w:r w:rsidRPr="005B2190">
        <w:rPr>
          <w:rFonts w:ascii="Arial" w:hAnsi="Arial" w:cs="Arial"/>
          <w:u w:color="000000"/>
        </w:rPr>
        <w:t xml:space="preserve">In the Caribbean, 14% of historical tsunamis are linked to volcanic activity, compared to 5% globally. Recent examples include the 2021 Saint Vincent and 2022 </w:t>
      </w:r>
      <w:proofErr w:type="spellStart"/>
      <w:r w:rsidRPr="005B2190">
        <w:rPr>
          <w:rFonts w:ascii="Arial" w:hAnsi="Arial" w:cs="Arial"/>
          <w:u w:color="000000"/>
        </w:rPr>
        <w:t>Hunga</w:t>
      </w:r>
      <w:proofErr w:type="spellEnd"/>
      <w:r w:rsidRPr="005B2190">
        <w:rPr>
          <w:rFonts w:ascii="Arial" w:hAnsi="Arial" w:cs="Arial"/>
          <w:u w:color="000000"/>
        </w:rPr>
        <w:t xml:space="preserve"> Tonga-</w:t>
      </w:r>
      <w:proofErr w:type="spellStart"/>
      <w:r w:rsidRPr="005B2190">
        <w:rPr>
          <w:rFonts w:ascii="Arial" w:hAnsi="Arial" w:cs="Arial"/>
          <w:u w:color="000000"/>
        </w:rPr>
        <w:t>Hunga</w:t>
      </w:r>
      <w:proofErr w:type="spellEnd"/>
      <w:r w:rsidRPr="005B2190">
        <w:rPr>
          <w:rFonts w:ascii="Arial" w:hAnsi="Arial" w:cs="Arial"/>
          <w:u w:color="000000"/>
        </w:rPr>
        <w:t xml:space="preserve"> </w:t>
      </w:r>
      <w:proofErr w:type="spellStart"/>
      <w:r w:rsidRPr="005B2190">
        <w:rPr>
          <w:rFonts w:ascii="Arial" w:hAnsi="Arial" w:cs="Arial"/>
          <w:u w:color="000000"/>
        </w:rPr>
        <w:t>Ha'apai</w:t>
      </w:r>
      <w:proofErr w:type="spellEnd"/>
      <w:r w:rsidRPr="005B2190">
        <w:rPr>
          <w:rFonts w:ascii="Arial" w:hAnsi="Arial" w:cs="Arial"/>
          <w:u w:color="000000"/>
        </w:rPr>
        <w:t xml:space="preserve"> eruptions. Other </w:t>
      </w:r>
      <w:r w:rsidR="00BA2245" w:rsidRPr="005B2190">
        <w:rPr>
          <w:rFonts w:ascii="Arial" w:hAnsi="Arial" w:cs="Arial"/>
          <w:u w:color="000000"/>
        </w:rPr>
        <w:t>volcanic activity</w:t>
      </w:r>
      <w:r w:rsidRPr="005B2190">
        <w:rPr>
          <w:rFonts w:ascii="Arial" w:hAnsi="Arial" w:cs="Arial"/>
          <w:u w:color="000000"/>
        </w:rPr>
        <w:t xml:space="preserve">, like </w:t>
      </w:r>
      <w:proofErr w:type="spellStart"/>
      <w:r w:rsidRPr="005B2190">
        <w:rPr>
          <w:rFonts w:ascii="Arial" w:hAnsi="Arial" w:cs="Arial"/>
          <w:u w:color="000000"/>
        </w:rPr>
        <w:t>Kick’em</w:t>
      </w:r>
      <w:proofErr w:type="spellEnd"/>
      <w:r w:rsidRPr="005B2190">
        <w:rPr>
          <w:rFonts w:ascii="Arial" w:hAnsi="Arial" w:cs="Arial"/>
          <w:u w:color="000000"/>
        </w:rPr>
        <w:t xml:space="preserve"> Jenny (2015–2020) and La Palma (2021), have drawn public attention due to their perceived tsunami threat.</w:t>
      </w:r>
    </w:p>
    <w:p w14:paraId="4EDCD9A2" w14:textId="77777777" w:rsidR="00E10306" w:rsidRPr="005B2190" w:rsidRDefault="00E10306" w:rsidP="00E10306">
      <w:pPr>
        <w:pStyle w:val="Pardfaut"/>
        <w:widowControl w:val="0"/>
        <w:spacing w:before="0" w:line="283" w:lineRule="auto"/>
        <w:ind w:right="147"/>
        <w:jc w:val="both"/>
        <w:rPr>
          <w:rFonts w:ascii="Arial" w:hAnsi="Arial" w:cs="Arial"/>
          <w:u w:color="000000"/>
        </w:rPr>
      </w:pPr>
    </w:p>
    <w:p w14:paraId="353E1E8E" w14:textId="57721BAE" w:rsidR="00E10306" w:rsidRPr="005B2190" w:rsidRDefault="00E10306" w:rsidP="00E10306">
      <w:pPr>
        <w:pStyle w:val="Pardfaut"/>
        <w:widowControl w:val="0"/>
        <w:spacing w:before="0" w:line="283" w:lineRule="auto"/>
        <w:ind w:right="147"/>
        <w:jc w:val="both"/>
        <w:rPr>
          <w:rFonts w:ascii="Arial" w:hAnsi="Arial" w:cs="Arial"/>
          <w:u w:color="000000"/>
        </w:rPr>
      </w:pPr>
      <w:r w:rsidRPr="005B2190">
        <w:rPr>
          <w:rFonts w:ascii="Arial" w:hAnsi="Arial" w:cs="Arial"/>
          <w:u w:color="000000"/>
        </w:rPr>
        <w:t xml:space="preserve">To address </w:t>
      </w:r>
      <w:r w:rsidR="0077553A" w:rsidRPr="005B2190">
        <w:rPr>
          <w:rFonts w:ascii="Arial" w:hAnsi="Arial" w:cs="Arial"/>
          <w:u w:color="000000"/>
        </w:rPr>
        <w:t>these risks</w:t>
      </w:r>
      <w:r w:rsidRPr="005B2190">
        <w:rPr>
          <w:rFonts w:ascii="Arial" w:hAnsi="Arial" w:cs="Arial"/>
          <w:u w:color="000000"/>
        </w:rPr>
        <w:t>, the UNESCO-IOC Intergovernmental Coordination Group for the Caribbean (ICG/CARIBE-EWS) formed a Task Team to develop response procedures. A key proposal involves volcano observatories sending alerts to the regional Tsunami Service Provider (TSP) using a standardized message format called the VONUT (Volcano Observatory Notice for Tsunami Threat). This format is adapted from the aviation-focused VONA bulletin and is issued when a volcano’s alert level changes. Upon receiving a VONUT, the TSP initiates enhanced monitoring of nearby sea level stations and issues alerts if necessary. This modality was tested during the CARIBE WAVE 2023 exercise and will be evaluated again in CARIBE WAVE 26.</w:t>
      </w:r>
    </w:p>
    <w:p w14:paraId="109AD900" w14:textId="77777777" w:rsidR="00E10306" w:rsidRPr="005B2190" w:rsidRDefault="00E10306" w:rsidP="00E10306">
      <w:pPr>
        <w:pStyle w:val="Pardfaut"/>
        <w:widowControl w:val="0"/>
        <w:spacing w:before="0" w:line="283" w:lineRule="auto"/>
        <w:ind w:right="147"/>
        <w:jc w:val="both"/>
        <w:rPr>
          <w:rFonts w:ascii="Arial" w:hAnsi="Arial" w:cs="Arial"/>
          <w:u w:color="000000"/>
        </w:rPr>
      </w:pPr>
    </w:p>
    <w:p w14:paraId="2B270494" w14:textId="77777777" w:rsidR="00E10306" w:rsidRPr="005B2190" w:rsidRDefault="00E10306" w:rsidP="00E10306">
      <w:pPr>
        <w:pStyle w:val="Pardfaut"/>
        <w:widowControl w:val="0"/>
        <w:spacing w:before="0" w:line="283" w:lineRule="auto"/>
        <w:ind w:right="147"/>
        <w:jc w:val="both"/>
        <w:rPr>
          <w:rFonts w:ascii="Arial" w:hAnsi="Arial" w:cs="Arial"/>
          <w:u w:color="000000"/>
        </w:rPr>
      </w:pPr>
      <w:r w:rsidRPr="005B2190">
        <w:rPr>
          <w:rFonts w:ascii="Arial" w:hAnsi="Arial" w:cs="Arial"/>
          <w:u w:color="000000"/>
        </w:rPr>
        <w:t>Despite these advances, volcano-generated tsunamis remain difficult to predict, model, and monitor. Continued development and testing of protocols are essential to improve early warning capabilities and public safety in volcanic coastal regions.</w:t>
      </w:r>
    </w:p>
    <w:p w14:paraId="119446D1" w14:textId="77777777" w:rsidR="008F3B7D" w:rsidRPr="005B2190" w:rsidRDefault="008F3B7D" w:rsidP="0077553A">
      <w:pPr>
        <w:pStyle w:val="Pardfaut"/>
        <w:widowControl w:val="0"/>
        <w:spacing w:before="0" w:line="283" w:lineRule="auto"/>
        <w:ind w:right="147"/>
        <w:rPr>
          <w:rFonts w:ascii="Arial" w:hAnsi="Arial" w:cs="Arial"/>
        </w:rPr>
      </w:pPr>
    </w:p>
    <w:sectPr w:rsidR="008F3B7D" w:rsidRPr="005B219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01DFBF" w14:textId="77777777" w:rsidR="005A3BBA" w:rsidRDefault="005A3BBA">
      <w:r>
        <w:separator/>
      </w:r>
    </w:p>
  </w:endnote>
  <w:endnote w:type="continuationSeparator" w:id="0">
    <w:p w14:paraId="1134AEE0" w14:textId="77777777" w:rsidR="005A3BBA" w:rsidRDefault="005A3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09F98" w14:textId="77777777" w:rsidR="005A3BBA" w:rsidRDefault="005A3BBA">
      <w:r>
        <w:separator/>
      </w:r>
    </w:p>
  </w:footnote>
  <w:footnote w:type="continuationSeparator" w:id="0">
    <w:p w14:paraId="7030E798" w14:textId="77777777" w:rsidR="005A3BBA" w:rsidRDefault="005A3B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B7D"/>
    <w:rsid w:val="00086CD3"/>
    <w:rsid w:val="000D562B"/>
    <w:rsid w:val="00371F7C"/>
    <w:rsid w:val="00442BB1"/>
    <w:rsid w:val="005A3BBA"/>
    <w:rsid w:val="005B2190"/>
    <w:rsid w:val="00656783"/>
    <w:rsid w:val="006C314D"/>
    <w:rsid w:val="0077553A"/>
    <w:rsid w:val="007D4A0A"/>
    <w:rsid w:val="008771AA"/>
    <w:rsid w:val="008F3B7D"/>
    <w:rsid w:val="00914080"/>
    <w:rsid w:val="00962AB7"/>
    <w:rsid w:val="00A7085B"/>
    <w:rsid w:val="00A873CB"/>
    <w:rsid w:val="00BA2245"/>
    <w:rsid w:val="00DB31C9"/>
    <w:rsid w:val="00DE0EA1"/>
    <w:rsid w:val="00E10306"/>
    <w:rsid w:val="00E83774"/>
    <w:rsid w:val="00F52872"/>
    <w:rsid w:val="00FE4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02656"/>
  <w15:docId w15:val="{471F6E68-103D-B244-8A4E-382B3B9C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Pardfaut">
    <w:name w:val="Par défau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ucun">
    <w:name w:val="Aucun"/>
    <w:rPr>
      <w:lang w:val="en-US"/>
    </w:rPr>
  </w:style>
  <w:style w:type="character" w:styleId="UnresolvedMention">
    <w:name w:val="Unresolved Mention"/>
    <w:basedOn w:val="DefaultParagraphFont"/>
    <w:uiPriority w:val="99"/>
    <w:semiHidden/>
    <w:unhideWhenUsed/>
    <w:rsid w:val="00E10306"/>
    <w:rPr>
      <w:color w:val="605E5C"/>
      <w:shd w:val="clear" w:color="auto" w:fill="E1DFDD"/>
    </w:rPr>
  </w:style>
  <w:style w:type="paragraph" w:styleId="Header">
    <w:name w:val="header"/>
    <w:basedOn w:val="Normal"/>
    <w:link w:val="HeaderChar"/>
    <w:uiPriority w:val="99"/>
    <w:unhideWhenUsed/>
    <w:rsid w:val="00086CD3"/>
    <w:pPr>
      <w:tabs>
        <w:tab w:val="center" w:pos="4513"/>
        <w:tab w:val="right" w:pos="9026"/>
      </w:tabs>
    </w:pPr>
  </w:style>
  <w:style w:type="character" w:customStyle="1" w:styleId="HeaderChar">
    <w:name w:val="Header Char"/>
    <w:basedOn w:val="DefaultParagraphFont"/>
    <w:link w:val="Header"/>
    <w:uiPriority w:val="99"/>
    <w:rsid w:val="00086CD3"/>
    <w:rPr>
      <w:sz w:val="24"/>
      <w:szCs w:val="24"/>
      <w:lang w:val="en-US" w:eastAsia="en-US"/>
    </w:rPr>
  </w:style>
  <w:style w:type="paragraph" w:styleId="Footer">
    <w:name w:val="footer"/>
    <w:basedOn w:val="Normal"/>
    <w:link w:val="FooterChar"/>
    <w:uiPriority w:val="99"/>
    <w:unhideWhenUsed/>
    <w:rsid w:val="00086CD3"/>
    <w:pPr>
      <w:tabs>
        <w:tab w:val="center" w:pos="4513"/>
        <w:tab w:val="right" w:pos="9026"/>
      </w:tabs>
    </w:pPr>
  </w:style>
  <w:style w:type="character" w:customStyle="1" w:styleId="FooterChar">
    <w:name w:val="Footer Char"/>
    <w:basedOn w:val="DefaultParagraphFont"/>
    <w:link w:val="Footer"/>
    <w:uiPriority w:val="99"/>
    <w:rsid w:val="00086CD3"/>
    <w:rPr>
      <w:sz w:val="24"/>
      <w:szCs w:val="24"/>
      <w:lang w:val="en-US" w:eastAsia="en-US"/>
    </w:rPr>
  </w:style>
  <w:style w:type="paragraph" w:styleId="Revision">
    <w:name w:val="Revision"/>
    <w:hidden/>
    <w:uiPriority w:val="99"/>
    <w:semiHidden/>
    <w:rsid w:val="00BA224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447788">
      <w:bodyDiv w:val="1"/>
      <w:marLeft w:val="0"/>
      <w:marRight w:val="0"/>
      <w:marTop w:val="0"/>
      <w:marBottom w:val="0"/>
      <w:divBdr>
        <w:top w:val="none" w:sz="0" w:space="0" w:color="auto"/>
        <w:left w:val="none" w:sz="0" w:space="0" w:color="auto"/>
        <w:bottom w:val="none" w:sz="0" w:space="0" w:color="auto"/>
        <w:right w:val="none" w:sz="0" w:space="0" w:color="auto"/>
      </w:divBdr>
    </w:div>
    <w:div w:id="327825317">
      <w:bodyDiv w:val="1"/>
      <w:marLeft w:val="0"/>
      <w:marRight w:val="0"/>
      <w:marTop w:val="0"/>
      <w:marBottom w:val="0"/>
      <w:divBdr>
        <w:top w:val="none" w:sz="0" w:space="0" w:color="auto"/>
        <w:left w:val="none" w:sz="0" w:space="0" w:color="auto"/>
        <w:bottom w:val="none" w:sz="0" w:space="0" w:color="auto"/>
        <w:right w:val="none" w:sz="0" w:space="0" w:color="auto"/>
      </w:divBdr>
    </w:div>
    <w:div w:id="492110433">
      <w:bodyDiv w:val="1"/>
      <w:marLeft w:val="0"/>
      <w:marRight w:val="0"/>
      <w:marTop w:val="0"/>
      <w:marBottom w:val="0"/>
      <w:divBdr>
        <w:top w:val="none" w:sz="0" w:space="0" w:color="auto"/>
        <w:left w:val="none" w:sz="0" w:space="0" w:color="auto"/>
        <w:bottom w:val="none" w:sz="0" w:space="0" w:color="auto"/>
        <w:right w:val="none" w:sz="0" w:space="0" w:color="auto"/>
      </w:divBdr>
    </w:div>
    <w:div w:id="724838185">
      <w:bodyDiv w:val="1"/>
      <w:marLeft w:val="0"/>
      <w:marRight w:val="0"/>
      <w:marTop w:val="0"/>
      <w:marBottom w:val="0"/>
      <w:divBdr>
        <w:top w:val="none" w:sz="0" w:space="0" w:color="auto"/>
        <w:left w:val="none" w:sz="0" w:space="0" w:color="auto"/>
        <w:bottom w:val="none" w:sz="0" w:space="0" w:color="auto"/>
        <w:right w:val="none" w:sz="0" w:space="0" w:color="auto"/>
      </w:divBdr>
    </w:div>
    <w:div w:id="974601424">
      <w:bodyDiv w:val="1"/>
      <w:marLeft w:val="0"/>
      <w:marRight w:val="0"/>
      <w:marTop w:val="0"/>
      <w:marBottom w:val="0"/>
      <w:divBdr>
        <w:top w:val="none" w:sz="0" w:space="0" w:color="auto"/>
        <w:left w:val="none" w:sz="0" w:space="0" w:color="auto"/>
        <w:bottom w:val="none" w:sz="0" w:space="0" w:color="auto"/>
        <w:right w:val="none" w:sz="0" w:space="0" w:color="auto"/>
      </w:divBdr>
    </w:div>
    <w:div w:id="1317807939">
      <w:bodyDiv w:val="1"/>
      <w:marLeft w:val="0"/>
      <w:marRight w:val="0"/>
      <w:marTop w:val="0"/>
      <w:marBottom w:val="0"/>
      <w:divBdr>
        <w:top w:val="none" w:sz="0" w:space="0" w:color="auto"/>
        <w:left w:val="none" w:sz="0" w:space="0" w:color="auto"/>
        <w:bottom w:val="none" w:sz="0" w:space="0" w:color="auto"/>
        <w:right w:val="none" w:sz="0" w:space="0" w:color="auto"/>
      </w:divBdr>
    </w:div>
    <w:div w:id="1518234270">
      <w:bodyDiv w:val="1"/>
      <w:marLeft w:val="0"/>
      <w:marRight w:val="0"/>
      <w:marTop w:val="0"/>
      <w:marBottom w:val="0"/>
      <w:divBdr>
        <w:top w:val="none" w:sz="0" w:space="0" w:color="auto"/>
        <w:left w:val="none" w:sz="0" w:space="0" w:color="auto"/>
        <w:bottom w:val="none" w:sz="0" w:space="0" w:color="auto"/>
        <w:right w:val="none" w:sz="0" w:space="0" w:color="auto"/>
      </w:divBdr>
    </w:div>
    <w:div w:id="1754820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Ocal Necmioglu (UNESCO/IOC)</cp:lastModifiedBy>
  <cp:revision>3</cp:revision>
  <dcterms:created xsi:type="dcterms:W3CDTF">2025-05-31T15:41:00Z</dcterms:created>
  <dcterms:modified xsi:type="dcterms:W3CDTF">2025-05-31T15:41:00Z</dcterms:modified>
</cp:coreProperties>
</file>